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2829"/>
        <w:gridCol w:w="2834"/>
        <w:gridCol w:w="3625"/>
      </w:tblGrid>
      <w:tr w:rsidR="009406FD" w:rsidTr="00017199">
        <w:trPr>
          <w:tblHeader/>
        </w:trPr>
        <w:tc>
          <w:tcPr>
            <w:tcW w:w="2829" w:type="dxa"/>
            <w:shd w:val="clear" w:color="auto" w:fill="BFBFBF" w:themeFill="background1" w:themeFillShade="BF"/>
          </w:tcPr>
          <w:p w:rsidR="009406FD" w:rsidRDefault="009406FD" w:rsidP="00017199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Planungsschritte</w:t>
            </w:r>
          </w:p>
        </w:tc>
        <w:tc>
          <w:tcPr>
            <w:tcW w:w="2834" w:type="dxa"/>
            <w:shd w:val="clear" w:color="auto" w:fill="BFBFBF" w:themeFill="background1" w:themeFillShade="BF"/>
          </w:tcPr>
          <w:p w:rsidR="009406FD" w:rsidRDefault="009406FD" w:rsidP="00017199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Planungsimpulse</w:t>
            </w:r>
          </w:p>
        </w:tc>
        <w:tc>
          <w:tcPr>
            <w:tcW w:w="3625" w:type="dxa"/>
            <w:shd w:val="clear" w:color="auto" w:fill="BFBFBF" w:themeFill="background1" w:themeFillShade="BF"/>
          </w:tcPr>
          <w:p w:rsidR="009406FD" w:rsidRDefault="009406FD" w:rsidP="00017199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Konkretisierung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Wähle einen Unterrichts</w:t>
            </w:r>
            <w:r>
              <w:rPr>
                <w:rFonts w:cs="Arial"/>
                <w:sz w:val="20"/>
              </w:rPr>
              <w:softHyphen/>
              <w:t>gegenstand gemäß eines Inhaltsfelds des Lehr</w:t>
            </w:r>
            <w:r>
              <w:rPr>
                <w:rFonts w:cs="Arial"/>
                <w:sz w:val="20"/>
              </w:rPr>
              <w:softHyphen/>
              <w:t>plans.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ausreichende Komplexität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unterschiedliche Aneignungswege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Lebensweltbezug 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„Nutzung und Umwandlung von Energie“ aus dem Inhaltsfeld „Energie, Leistung, Wirkungsgrad“ des Kernlehrplans Naturwissen</w:t>
            </w:r>
            <w:r>
              <w:rPr>
                <w:rFonts w:ascii="Arial" w:hAnsi="Arial" w:cs="Arial"/>
              </w:rPr>
              <w:softHyphen/>
              <w:t>schaften an Gesamtschulen in NRW (MSW, 2013, S. 108)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Bestimme die fachlichen Kerne des gewählten Unterrichtsgegenstandes und formuliere zentrale Fragestellungen, um diese zu erschließen.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017199">
            <w:pPr>
              <w:pStyle w:val="Listenabsatz"/>
              <w:widowControl w:val="0"/>
              <w:spacing w:before="40" w:after="40"/>
              <w:ind w:left="210" w:hanging="28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→</w:t>
            </w:r>
            <w:r>
              <w:rPr>
                <w:rFonts w:cs="Arial"/>
                <w:sz w:val="20"/>
              </w:rPr>
              <w:tab/>
              <w:t>Thema in seiner inhalt</w:t>
            </w:r>
            <w:r>
              <w:rPr>
                <w:rFonts w:cs="Arial"/>
                <w:sz w:val="20"/>
              </w:rPr>
              <w:softHyphen/>
              <w:t>lichen Komplexität aufspannen</w:t>
            </w:r>
          </w:p>
          <w:p w:rsidR="009406FD" w:rsidRDefault="009406FD" w:rsidP="00017199">
            <w:pPr>
              <w:pStyle w:val="Listenabsatz"/>
              <w:widowControl w:val="0"/>
              <w:spacing w:before="40" w:after="40"/>
              <w:ind w:left="210" w:hanging="28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→</w:t>
            </w:r>
            <w:r>
              <w:rPr>
                <w:rFonts w:cs="Arial"/>
                <w:sz w:val="20"/>
              </w:rPr>
              <w:tab/>
              <w:t xml:space="preserve">Bezug zur Lebenswelt </w:t>
            </w:r>
          </w:p>
          <w:p w:rsidR="009406FD" w:rsidRDefault="009406FD" w:rsidP="00017199">
            <w:pPr>
              <w:pStyle w:val="Listenabsatz"/>
              <w:widowControl w:val="0"/>
              <w:spacing w:before="40" w:after="40"/>
              <w:ind w:left="210" w:hanging="28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→</w:t>
            </w:r>
            <w:r>
              <w:rPr>
                <w:rFonts w:cs="Arial"/>
                <w:sz w:val="20"/>
              </w:rPr>
              <w:tab/>
              <w:t xml:space="preserve">Wahl der Angebote und Verankerung im Lernstrukturgitter 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zentrale Fragestellungen: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6"/>
              </w:numPr>
              <w:spacing w:after="40" w:line="240" w:lineRule="auto"/>
              <w:ind w:left="181" w:hanging="181"/>
              <w:rPr>
                <w:sz w:val="20"/>
              </w:rPr>
            </w:pPr>
            <w:r>
              <w:rPr>
                <w:rFonts w:cs="Arial"/>
                <w:sz w:val="20"/>
              </w:rPr>
              <w:t>Wie erkennt man Kräfte?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6"/>
              </w:numPr>
              <w:spacing w:after="40" w:line="240" w:lineRule="auto"/>
              <w:ind w:left="182" w:hanging="182"/>
              <w:rPr>
                <w:sz w:val="20"/>
              </w:rPr>
            </w:pPr>
            <w:r>
              <w:rPr>
                <w:rFonts w:cs="Arial"/>
                <w:sz w:val="20"/>
              </w:rPr>
              <w:t>Warum geht es mit Werkzeugen einfacher?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6"/>
              </w:numPr>
              <w:spacing w:after="40" w:line="240" w:lineRule="auto"/>
              <w:ind w:left="182" w:hanging="182"/>
              <w:rPr>
                <w:sz w:val="20"/>
              </w:rPr>
            </w:pPr>
            <w:r>
              <w:rPr>
                <w:rFonts w:cs="Arial"/>
                <w:sz w:val="20"/>
              </w:rPr>
              <w:t>Wie lassen sich Kräfte (ein)sparen?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6"/>
              </w:numPr>
              <w:spacing w:after="40" w:line="240" w:lineRule="auto"/>
              <w:ind w:left="182" w:hanging="18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Wie lässt sich die vorhandene Energie optimal nutzen?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Ermittle Unterrichts-handlungen mit zu-nehmender Kom</w:t>
            </w:r>
            <w:r>
              <w:rPr>
                <w:rFonts w:cs="Arial"/>
                <w:sz w:val="20"/>
              </w:rPr>
              <w:softHyphen/>
              <w:t>plexität, die einen Kompetenz-erwerb gemäß dem Unterrichts</w:t>
            </w:r>
            <w:r>
              <w:rPr>
                <w:rFonts w:cs="Arial"/>
                <w:sz w:val="20"/>
              </w:rPr>
              <w:softHyphen/>
              <w:t>gegenstand ermöglichen.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017199">
            <w:pPr>
              <w:pStyle w:val="Listenabsatz"/>
              <w:widowControl w:val="0"/>
              <w:spacing w:before="40" w:after="40"/>
              <w:ind w:left="210" w:hanging="28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→</w:t>
            </w:r>
            <w:r>
              <w:rPr>
                <w:rFonts w:cs="Arial"/>
                <w:sz w:val="20"/>
              </w:rPr>
              <w:tab/>
              <w:t>Beschreibung der Kom</w:t>
            </w:r>
            <w:r>
              <w:rPr>
                <w:rFonts w:cs="Arial"/>
                <w:sz w:val="20"/>
              </w:rPr>
              <w:softHyphen/>
              <w:t>plexität von Inhalten in fünf Stufen: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491" w:hanging="2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 Fakt</w:t>
            </w:r>
          </w:p>
          <w:p w:rsidR="009406FD" w:rsidRDefault="00B34772" w:rsidP="009406FD">
            <w:pPr>
              <w:pStyle w:val="Listenabsatz"/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491" w:hanging="2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mehrere Fakten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491" w:hanging="2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 Zusammenhang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491" w:hanging="2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mehrere Zusammenhänge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3"/>
              </w:numPr>
              <w:spacing w:before="40" w:after="40" w:line="240" w:lineRule="auto"/>
              <w:ind w:left="491" w:hanging="2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übergeordnetes Konzept</w:t>
            </w:r>
          </w:p>
          <w:p w:rsidR="009406FD" w:rsidRDefault="009406FD" w:rsidP="00017199">
            <w:pPr>
              <w:pStyle w:val="Listenabsatz"/>
              <w:widowControl w:val="0"/>
              <w:spacing w:before="40" w:after="40"/>
              <w:ind w:left="210" w:hanging="28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→</w:t>
            </w:r>
            <w:r>
              <w:rPr>
                <w:rFonts w:cs="Arial"/>
                <w:sz w:val="20"/>
              </w:rPr>
              <w:tab/>
              <w:t xml:space="preserve">ggf. Komplexitätsstufen betiteln 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0" w:line="240" w:lineRule="auto"/>
              <w:ind w:left="11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Komplexitätsstufe 1: </w:t>
            </w:r>
            <w:r>
              <w:rPr>
                <w:rFonts w:ascii="Arial" w:hAnsi="Arial" w:cs="Arial"/>
              </w:rPr>
              <w:br/>
              <w:t>Ein Werkzeug (Hebel) zur Erleich</w:t>
            </w:r>
            <w:r>
              <w:rPr>
                <w:rFonts w:ascii="Arial" w:hAnsi="Arial" w:cs="Arial"/>
              </w:rPr>
              <w:softHyphen/>
              <w:t>terung von Handlungen ausprobieren (später eingeordnet in Feld a 1)</w:t>
            </w:r>
          </w:p>
          <w:p w:rsidR="009406FD" w:rsidRDefault="009406FD" w:rsidP="00017199">
            <w:pPr>
              <w:widowControl w:val="0"/>
              <w:spacing w:before="40" w:after="0" w:line="240" w:lineRule="auto"/>
              <w:ind w:left="11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Komplexitätsstufe 3: </w:t>
            </w:r>
            <w:r>
              <w:rPr>
                <w:rFonts w:ascii="Arial" w:hAnsi="Arial" w:cs="Arial"/>
              </w:rPr>
              <w:br/>
              <w:t>Experimente zum Kräftegleichgewicht an zweiseitigen Hebeln durchführen (später eingeordnet in Feld c 3)</w:t>
            </w:r>
          </w:p>
          <w:p w:rsidR="009406FD" w:rsidRDefault="009406FD" w:rsidP="00017199">
            <w:pPr>
              <w:widowControl w:val="0"/>
              <w:spacing w:before="40" w:after="0" w:line="240" w:lineRule="auto"/>
              <w:ind w:left="11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Komplexitätsstufe 5: </w:t>
            </w:r>
            <w:r>
              <w:rPr>
                <w:rFonts w:ascii="Arial" w:hAnsi="Arial" w:cs="Arial"/>
              </w:rPr>
              <w:br/>
              <w:t>Prinzip der „Goldenen Regel“ anhand der schiefen Ebene zeigen (später eingeordnet in Feld e 5)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Gleiche die Unter</w:t>
            </w:r>
            <w:r>
              <w:rPr>
                <w:rFonts w:cs="Arial"/>
                <w:sz w:val="20"/>
              </w:rPr>
              <w:softHyphen/>
              <w:t>richts</w:t>
            </w:r>
            <w:r>
              <w:rPr>
                <w:rFonts w:cs="Arial"/>
                <w:sz w:val="20"/>
              </w:rPr>
              <w:softHyphen/>
              <w:t>handlungen mit den spezifischen Kompe</w:t>
            </w:r>
            <w:r>
              <w:rPr>
                <w:rFonts w:cs="Arial"/>
                <w:sz w:val="20"/>
              </w:rPr>
              <w:softHyphen/>
              <w:t>tenzerwartungen des Lehrplanes ab.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B34772">
            <w:pPr>
              <w:widowControl w:val="0"/>
              <w:spacing w:before="40" w:after="40"/>
              <w:ind w:left="207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→</w:t>
            </w:r>
            <w:r>
              <w:rPr>
                <w:rFonts w:ascii="Arial" w:hAnsi="Arial" w:cs="Arial"/>
              </w:rPr>
              <w:tab/>
              <w:t xml:space="preserve">Herstellen eines Zusammenhangs zwischen den Unterrichtshandlungen und den Kompetenzerwartungen des Lehrplans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Abgleich </w:t>
            </w:r>
            <w:r>
              <w:rPr>
                <w:rFonts w:eastAsia="DejaVu Sans" w:cs="Arial"/>
                <w:sz w:val="20"/>
                <w:lang w:bidi="en-US"/>
              </w:rPr>
              <w:t>mit den spezifischen Unterrichtsvorgaben für Lernende mit sonderpädagogischem Unterstützungsbedarf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u w:val="single"/>
              </w:rPr>
            </w:pPr>
            <w:r>
              <w:rPr>
                <w:rFonts w:ascii="Arial" w:hAnsi="Arial" w:cs="Arial"/>
                <w:u w:val="single"/>
              </w:rPr>
              <w:t>konkretisierte Kompetenzerwartung: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 können auf der Grundlage von Beobach</w:t>
            </w:r>
            <w:r>
              <w:rPr>
                <w:rFonts w:ascii="Arial" w:hAnsi="Arial" w:cs="Arial"/>
              </w:rPr>
              <w:softHyphen/>
              <w:t>tungen […] verallgemeinernde Hypothesen zu Kraftwirkungen und Energieumwandlungen entwickeln und diese experimentell überprüfen.</w:t>
            </w:r>
            <w:r>
              <w:rPr>
                <w:rFonts w:ascii="Arial" w:hAnsi="Arial" w:cs="Arial"/>
              </w:rPr>
              <w:br/>
              <w:t>(MSW, 2013, S. 108)</w:t>
            </w:r>
          </w:p>
          <w:p w:rsidR="009406FD" w:rsidRDefault="009406FD" w:rsidP="00017199">
            <w:pPr>
              <w:pStyle w:val="Listenabsatz"/>
              <w:widowControl w:val="0"/>
              <w:spacing w:before="40" w:after="40"/>
              <w:ind w:left="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Unterrichtshandlungen: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4"/>
              </w:numPr>
              <w:spacing w:before="40" w:after="40" w:line="240" w:lineRule="auto"/>
              <w:ind w:left="213" w:hanging="21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Hypothesen zu unterschiedlichen Wirkweisen verschiedener Habel aufstellen (</w:t>
            </w:r>
            <w:r w:rsidRPr="00940E58">
              <w:rPr>
                <w:rFonts w:cs="Arial"/>
                <w:sz w:val="20"/>
              </w:rPr>
              <w:t xml:space="preserve">später eingeordnet in Feld </w:t>
            </w:r>
            <w:r>
              <w:rPr>
                <w:rFonts w:cs="Arial"/>
                <w:sz w:val="20"/>
              </w:rPr>
              <w:t>c 2)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4"/>
              </w:numPr>
              <w:spacing w:before="40" w:after="40" w:line="240" w:lineRule="auto"/>
              <w:ind w:left="213" w:hanging="21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Experimente zum Kräftegleich</w:t>
            </w:r>
            <w:r>
              <w:rPr>
                <w:rFonts w:cs="Arial"/>
                <w:sz w:val="20"/>
              </w:rPr>
              <w:softHyphen/>
              <w:t>gewicht an zweiseitigen Hebeln durchführen (</w:t>
            </w:r>
            <w:r w:rsidRPr="00940E58">
              <w:rPr>
                <w:rFonts w:cs="Arial"/>
                <w:sz w:val="20"/>
              </w:rPr>
              <w:t xml:space="preserve">später eingeordnet in Feld </w:t>
            </w:r>
            <w:r>
              <w:rPr>
                <w:rFonts w:cs="Arial"/>
                <w:sz w:val="20"/>
              </w:rPr>
              <w:t>c 3)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Ordne die Handlungen den kognitiven Prozessen zu, die bei der Ausein</w:t>
            </w:r>
            <w:r>
              <w:rPr>
                <w:rFonts w:cs="Arial"/>
                <w:sz w:val="20"/>
              </w:rPr>
              <w:softHyphen/>
              <w:t>andersetzung mit dem Lerngegenstand statt</w:t>
            </w:r>
            <w:r>
              <w:rPr>
                <w:rFonts w:cs="Arial"/>
                <w:sz w:val="20"/>
              </w:rPr>
              <w:softHyphen/>
              <w:t>finden.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Abstraktionsstufen der kognitiven Prozesse: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1"/>
              </w:numPr>
              <w:spacing w:after="40" w:line="240" w:lineRule="auto"/>
              <w:ind w:left="283" w:hanging="2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Wahrnehmen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1"/>
              </w:numPr>
              <w:spacing w:after="40" w:line="240" w:lineRule="auto"/>
              <w:ind w:left="283" w:hanging="2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Erkunden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1"/>
              </w:numPr>
              <w:spacing w:after="40" w:line="240" w:lineRule="auto"/>
              <w:ind w:left="283" w:hanging="2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Klären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1"/>
              </w:numPr>
              <w:spacing w:after="40" w:line="240" w:lineRule="auto"/>
              <w:ind w:left="283" w:hanging="2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Begreifen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1"/>
              </w:numPr>
              <w:spacing w:after="40" w:line="240" w:lineRule="auto"/>
              <w:ind w:left="283" w:hanging="2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Übertragen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„Wahrnehmen“: </w:t>
            </w:r>
            <w:r>
              <w:rPr>
                <w:rFonts w:ascii="Arial" w:hAnsi="Arial" w:cs="Arial"/>
              </w:rPr>
              <w:br/>
              <w:t>Ein Werkzeug (Hebel) zur Erleich</w:t>
            </w:r>
            <w:r>
              <w:rPr>
                <w:rFonts w:ascii="Arial" w:hAnsi="Arial" w:cs="Arial"/>
              </w:rPr>
              <w:softHyphen/>
              <w:t>terung von Handlungen ausprobieren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„Klären“: </w:t>
            </w:r>
            <w:r>
              <w:rPr>
                <w:rFonts w:ascii="Arial" w:hAnsi="Arial" w:cs="Arial"/>
              </w:rPr>
              <w:br/>
              <w:t>Experimente zum Kräftegleichgewicht an zweiseitigen Hebeln durchführen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„Übertragen“: </w:t>
            </w:r>
            <w:r>
              <w:rPr>
                <w:rFonts w:ascii="Arial" w:hAnsi="Arial" w:cs="Arial"/>
              </w:rPr>
              <w:br/>
              <w:t>Prinzip der „Goldenen Regel“ anhand der schiefen Ebene zeigen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Ordne den einzelnen Feldern des Lern</w:t>
            </w:r>
            <w:r>
              <w:rPr>
                <w:rFonts w:cs="Arial"/>
                <w:sz w:val="20"/>
              </w:rPr>
              <w:softHyphen/>
            </w:r>
            <w:r>
              <w:rPr>
                <w:rFonts w:cs="Arial"/>
                <w:sz w:val="20"/>
              </w:rPr>
              <w:lastRenderedPageBreak/>
              <w:t>strukturgitters Unter</w:t>
            </w:r>
            <w:r>
              <w:rPr>
                <w:rFonts w:cs="Arial"/>
                <w:sz w:val="20"/>
              </w:rPr>
              <w:softHyphen/>
              <w:t>richtshandlungen zu.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Arbeit am Gemeinsamen Lerngegenstand ermöglichen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ggf. bleiben Felder frei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Phänomene wahrnehmen (a 1):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Ein Werkzeug (Hebel) zur </w:t>
            </w:r>
            <w:r>
              <w:rPr>
                <w:rFonts w:ascii="Arial" w:hAnsi="Arial" w:cs="Arial"/>
              </w:rPr>
              <w:lastRenderedPageBreak/>
              <w:t>Erleichterung von Handlungen ausprobieren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Ideen übertragen (e 5): 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>Prinzip der „Goldenen Regel“ anhand der schiefen Ebene zeigen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Ordne die Handlungen den Stufen des Wember-Modells zu und hinterlege die Felder mit der ent</w:t>
            </w:r>
            <w:r>
              <w:rPr>
                <w:rFonts w:cs="Arial"/>
                <w:sz w:val="20"/>
              </w:rPr>
              <w:softHyphen/>
              <w:t>sprechenden Farbe.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Basisstufe (gelb): Aufgaben gemäß Lehrplan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Erweiterungsstufe I (hellgrün): weiterführende Angebote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Erweiterungsstufe II (dunkelgrün): vertiefende Angebote für best. </w:t>
            </w:r>
            <w:proofErr w:type="spellStart"/>
            <w:r>
              <w:rPr>
                <w:rFonts w:cs="Arial"/>
                <w:sz w:val="20"/>
              </w:rPr>
              <w:t>SuS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Unterstützungsstufe I (hellblau): hinführende Angebote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Unterstützungsstufe II (dunkelblau): basaler </w:t>
            </w:r>
            <w:proofErr w:type="spellStart"/>
            <w:r>
              <w:rPr>
                <w:rFonts w:cs="Arial"/>
                <w:sz w:val="20"/>
              </w:rPr>
              <w:t>hand</w:t>
            </w:r>
            <w:r>
              <w:rPr>
                <w:rFonts w:cs="Arial"/>
                <w:sz w:val="20"/>
              </w:rPr>
              <w:softHyphen/>
              <w:t>lungs</w:t>
            </w:r>
            <w:proofErr w:type="spellEnd"/>
            <w:r>
              <w:rPr>
                <w:rFonts w:cs="Arial"/>
                <w:sz w:val="20"/>
              </w:rPr>
              <w:t>- und wahrneh</w:t>
            </w:r>
            <w:r>
              <w:rPr>
                <w:rFonts w:cs="Arial"/>
                <w:sz w:val="20"/>
              </w:rPr>
              <w:softHyphen/>
              <w:t>mungs</w:t>
            </w:r>
            <w:r>
              <w:rPr>
                <w:rFonts w:cs="Arial"/>
                <w:sz w:val="20"/>
              </w:rPr>
              <w:softHyphen/>
              <w:t xml:space="preserve">orientierter Zugang 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Basisstufe: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  <w:spacing w:val="-4"/>
              </w:rPr>
              <w:t>Zusammenhang zwischen Werkzeug (Hebel) und Funktion beschreiben (c 1)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Erweiterungsstufe I: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>Hebelgesetze ermitteln mit Versuchen nach dem Prinzip der Variablenkon</w:t>
            </w:r>
            <w:r>
              <w:rPr>
                <w:rFonts w:ascii="Arial" w:hAnsi="Arial" w:cs="Arial"/>
              </w:rPr>
              <w:softHyphen/>
              <w:t>trolle (d 3)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Erweiterungsstufe II: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>Prinzip der „Goldenen Regel“ anhand der schiefen Ebene zeigen (e 5)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Unterstützungsstufe I: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 xml:space="preserve">Den Begriff „Hebel“ </w:t>
            </w:r>
            <w:proofErr w:type="spellStart"/>
            <w:r>
              <w:rPr>
                <w:rFonts w:ascii="Arial" w:hAnsi="Arial" w:cs="Arial"/>
              </w:rPr>
              <w:t>kriterienorientiert</w:t>
            </w:r>
            <w:proofErr w:type="spellEnd"/>
            <w:r>
              <w:rPr>
                <w:rFonts w:ascii="Arial" w:hAnsi="Arial" w:cs="Arial"/>
              </w:rPr>
              <w:t xml:space="preserve"> erklären zu können (a 4)</w:t>
            </w:r>
          </w:p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Unterstützungsstufe II:</w:t>
            </w:r>
            <w:r>
              <w:rPr>
                <w:rFonts w:ascii="Arial" w:hAnsi="Arial" w:cs="Arial"/>
                <w:u w:val="single"/>
              </w:rPr>
              <w:br/>
            </w:r>
            <w:r>
              <w:rPr>
                <w:rFonts w:ascii="Arial" w:hAnsi="Arial" w:cs="Arial"/>
              </w:rPr>
              <w:t>Ein Werkzeug (Hebel) zur Erleich</w:t>
            </w:r>
            <w:r>
              <w:rPr>
                <w:rFonts w:ascii="Arial" w:hAnsi="Arial" w:cs="Arial"/>
              </w:rPr>
              <w:softHyphen/>
              <w:t>terung von Handlungen ausprobieren (a 1)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Wähle oder erstelle zu den einzelnen Feldern passgenaue Aufgaben.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eigene Aufgaben und/oder Aufgaben aus Lehrwerken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Aufgaben evtl. durch Verortung in einem anderen Feld variieren, umgestalten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spezifische Felder über Entwicklungschancen öffnen 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Aufgabe zur Handlung „Ein Werkzeug (Hebel) in verschied. Ausführungen ausprobieren“ (a 2): </w:t>
            </w:r>
          </w:p>
          <w:p w:rsidR="009406FD" w:rsidRDefault="009406FD" w:rsidP="008F3048">
            <w:pPr>
              <w:widowControl w:val="0"/>
              <w:spacing w:before="40"/>
            </w:pPr>
            <w:r>
              <w:rPr>
                <w:rFonts w:ascii="Arial" w:hAnsi="Arial" w:cs="Arial"/>
              </w:rPr>
              <w:t xml:space="preserve">„Scheren sind zum Schneiden da“ </w:t>
            </w:r>
            <w:r>
              <w:rPr>
                <w:rFonts w:ascii="Arial" w:hAnsi="Arial" w:cs="Arial"/>
              </w:rPr>
              <w:br/>
              <w:t xml:space="preserve">(s. </w:t>
            </w:r>
            <w:r w:rsidR="008F3048">
              <w:rPr>
                <w:rFonts w:ascii="Arial" w:hAnsi="Arial" w:cs="Arial"/>
              </w:rPr>
              <w:t>Abb. 5)</w:t>
            </w:r>
          </w:p>
        </w:tc>
      </w:tr>
      <w:tr w:rsidR="009406FD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Ermittle und markiere Entwicklungschancen. 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parallele Betrachtung von Gefährdungsbeurteilung und zentralen Indikatoren in den Entwicklungs</w:t>
            </w:r>
            <w:r>
              <w:rPr>
                <w:rFonts w:cs="Arial"/>
                <w:sz w:val="20"/>
              </w:rPr>
              <w:softHyphen/>
              <w:t xml:space="preserve">bereichen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unterrichtsbezogene Absprachen treffen 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Entwicklungschancen: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7"/>
              </w:numPr>
              <w:spacing w:before="40" w:after="40" w:line="240" w:lineRule="auto"/>
              <w:ind w:left="182" w:hanging="18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Bereitschaft, sich auf Inhalte und Bearbeitungsformen einzulassen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7"/>
              </w:numPr>
              <w:spacing w:before="40" w:after="40" w:line="240" w:lineRule="auto"/>
              <w:ind w:left="182" w:hanging="18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grob- und feinmotorische Kompe</w:t>
            </w:r>
            <w:r>
              <w:rPr>
                <w:rFonts w:cs="Arial"/>
                <w:sz w:val="20"/>
              </w:rPr>
              <w:softHyphen/>
              <w:t>tenz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7"/>
              </w:numPr>
              <w:spacing w:before="40" w:after="40" w:line="240" w:lineRule="auto"/>
              <w:ind w:left="182" w:hanging="18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naturwissenschaftliche Arbeits</w:t>
            </w:r>
            <w:r>
              <w:rPr>
                <w:rFonts w:cs="Arial"/>
                <w:sz w:val="20"/>
              </w:rPr>
              <w:softHyphen/>
              <w:t>techniken: ineinanderstecken, schrauben, portionieren, anzünden…</w:t>
            </w:r>
          </w:p>
          <w:p w:rsidR="009406FD" w:rsidRPr="004A480D" w:rsidRDefault="009406FD" w:rsidP="009406FD">
            <w:pPr>
              <w:pStyle w:val="Listenabsatz"/>
              <w:widowControl w:val="0"/>
              <w:numPr>
                <w:ilvl w:val="0"/>
                <w:numId w:val="7"/>
              </w:numPr>
              <w:spacing w:before="40" w:after="40" w:line="240" w:lineRule="auto"/>
              <w:ind w:left="182" w:hanging="18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Verfügen über metakognitive Strategien z. B. Planung, Durchführung und Auswertung von Aufgaben</w:t>
            </w:r>
          </w:p>
        </w:tc>
      </w:tr>
      <w:tr w:rsidR="009406FD" w:rsidRPr="00CB0BAB" w:rsidTr="00017199">
        <w:tc>
          <w:tcPr>
            <w:tcW w:w="2829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5"/>
              </w:numPr>
              <w:spacing w:before="40" w:after="40" w:line="240" w:lineRule="auto"/>
              <w:ind w:left="312" w:hanging="31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Ermittle Lernpfade mit Hilfe des Lernstruktur</w:t>
            </w:r>
            <w:r>
              <w:rPr>
                <w:rFonts w:cs="Arial"/>
                <w:sz w:val="20"/>
              </w:rPr>
              <w:softHyphen/>
              <w:t xml:space="preserve">gitters. </w:t>
            </w:r>
          </w:p>
        </w:tc>
        <w:tc>
          <w:tcPr>
            <w:tcW w:w="2834" w:type="dxa"/>
            <w:shd w:val="clear" w:color="auto" w:fill="auto"/>
          </w:tcPr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before="40"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Lern- und Entwicklungs-planung 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Zone der nächsten Entwicklung</w:t>
            </w:r>
          </w:p>
          <w:p w:rsidR="009406FD" w:rsidRDefault="009406FD" w:rsidP="009406FD">
            <w:pPr>
              <w:pStyle w:val="Listenabsatz"/>
              <w:widowControl w:val="0"/>
              <w:numPr>
                <w:ilvl w:val="0"/>
                <w:numId w:val="2"/>
              </w:numPr>
              <w:spacing w:after="40" w:line="240" w:lineRule="auto"/>
              <w:ind w:left="210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evtl. sind individuelle Lernpfade notwendig</w:t>
            </w:r>
          </w:p>
        </w:tc>
        <w:tc>
          <w:tcPr>
            <w:tcW w:w="3625" w:type="dxa"/>
            <w:shd w:val="clear" w:color="auto" w:fill="auto"/>
          </w:tcPr>
          <w:p w:rsidR="009406FD" w:rsidRDefault="009406FD" w:rsidP="00017199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exemplarischer </w:t>
            </w:r>
            <w:proofErr w:type="spellStart"/>
            <w:r>
              <w:rPr>
                <w:rFonts w:ascii="Arial" w:hAnsi="Arial" w:cs="Arial"/>
              </w:rPr>
              <w:t>Lernpfad</w:t>
            </w:r>
            <w:proofErr w:type="spellEnd"/>
            <w:r>
              <w:rPr>
                <w:rFonts w:ascii="Arial" w:hAnsi="Arial" w:cs="Arial"/>
              </w:rPr>
              <w:t xml:space="preserve"> für eine Schülerin/einen Schüler im zieldifferenten Bildungsgang Geistige Entwicklung:</w:t>
            </w:r>
          </w:p>
          <w:p w:rsidR="009406FD" w:rsidRDefault="009406FD" w:rsidP="00017199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 1, a 2, a 3, a 4, a 5, b 1, b 2, b 3, b 4, c 1, c  2, c 3, c 4, d 2, d 3, e 1</w:t>
            </w:r>
          </w:p>
        </w:tc>
      </w:tr>
    </w:tbl>
    <w:p w:rsidR="00E347D4" w:rsidRPr="009406FD" w:rsidRDefault="002B43E4">
      <w:pPr>
        <w:rPr>
          <w:lang w:val="en-GB"/>
        </w:rPr>
      </w:pPr>
    </w:p>
    <w:p w:rsidR="009406FD" w:rsidRPr="009406FD" w:rsidRDefault="009406FD" w:rsidP="009406FD">
      <w:pPr>
        <w:pStyle w:val="Beschriftung"/>
      </w:pPr>
      <w:r>
        <w:t xml:space="preserve">Tabelle </w:t>
      </w:r>
      <w:r>
        <w:fldChar w:fldCharType="begin"/>
      </w:r>
      <w:r>
        <w:instrText>SEQ Tabelle \* ARABIC</w:instrText>
      </w:r>
      <w:r>
        <w:fldChar w:fldCharType="separate"/>
      </w:r>
      <w:r>
        <w:t>1</w:t>
      </w:r>
      <w:r>
        <w:fldChar w:fldCharType="end"/>
      </w:r>
      <w:r>
        <w:t>: Planungsschritte zum Erstellen eines Lernstrukturgitters</w:t>
      </w:r>
    </w:p>
    <w:sectPr w:rsidR="009406FD" w:rsidRPr="00940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CD1"/>
    <w:multiLevelType w:val="multilevel"/>
    <w:tmpl w:val="D00AB0D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0249FD"/>
    <w:multiLevelType w:val="multilevel"/>
    <w:tmpl w:val="67B616F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2052D"/>
    <w:multiLevelType w:val="multilevel"/>
    <w:tmpl w:val="69FC52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E61D47"/>
    <w:multiLevelType w:val="multilevel"/>
    <w:tmpl w:val="A38483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727BB8"/>
    <w:multiLevelType w:val="multilevel"/>
    <w:tmpl w:val="1AD60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E5F18"/>
    <w:multiLevelType w:val="multilevel"/>
    <w:tmpl w:val="B4DABE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963B01"/>
    <w:multiLevelType w:val="multilevel"/>
    <w:tmpl w:val="C70A7064"/>
    <w:lvl w:ilvl="0">
      <w:start w:val="1"/>
      <w:numFmt w:val="bullet"/>
      <w:lvlText w:val="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FD"/>
    <w:rsid w:val="002B43E4"/>
    <w:rsid w:val="002F3BF3"/>
    <w:rsid w:val="008F3048"/>
    <w:rsid w:val="009406FD"/>
    <w:rsid w:val="00B34772"/>
    <w:rsid w:val="00D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A776-2158-4497-8C71-56A1B038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06FD"/>
    <w:pPr>
      <w:spacing w:after="160" w:line="259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06FD"/>
    <w:pPr>
      <w:ind w:left="720"/>
      <w:contextualSpacing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9406F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qFormat/>
    <w:rsid w:val="009406FD"/>
    <w:pPr>
      <w:suppressLineNumbers/>
      <w:spacing w:before="120" w:after="120"/>
    </w:pPr>
    <w:rPr>
      <w:rFonts w:ascii="Arial" w:hAnsi="Arial" w:cs="Noto Sans Devanagari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4669</Characters>
  <Application>Microsoft Office Word</Application>
  <DocSecurity>4</DocSecurity>
  <Lines>233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Austermann, Jens</dc:creator>
  <cp:keywords/>
  <dc:description/>
  <cp:lastModifiedBy>Esser, Susanne</cp:lastModifiedBy>
  <cp:revision>2</cp:revision>
  <dcterms:created xsi:type="dcterms:W3CDTF">2020-08-13T09:26:00Z</dcterms:created>
  <dcterms:modified xsi:type="dcterms:W3CDTF">2020-08-13T09:26:00Z</dcterms:modified>
</cp:coreProperties>
</file>