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9" w:rsidRPr="002C7C70" w:rsidRDefault="00A22DFC" w:rsidP="00EC1D89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Im Lernfeld 3 des ersten Ausbildungsjahres erwerben die Schülerinnen und Schüler die Ko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m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petenz, Verträge im Online-Vertrieb unter Berücksichtigung unternehmerischer Zielsetzu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gen anzubahnen sowie Auftragsdaten für nachgelagerte Prozesse bereitzustellen. Ein Schwerpunkt des Lernfeldes 3 ist die benutzerfreundliche und rechtssichere Gestaltung der Prozessschritte bis zum Vertragsabschluss im Online-Vertrieb. Die Lernsituation 3.1 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„</w:t>
      </w:r>
      <w:r w:rsidRPr="002C7C70">
        <w:rPr>
          <w:rFonts w:asciiTheme="minorHAnsi" w:hAnsiTheme="minorHAnsi" w:cstheme="minorHAnsi"/>
          <w:i/>
        </w:rPr>
        <w:t>Ve</w:t>
      </w:r>
      <w:r w:rsidRPr="002C7C70">
        <w:rPr>
          <w:rFonts w:asciiTheme="minorHAnsi" w:hAnsiTheme="minorHAnsi" w:cstheme="minorHAnsi"/>
          <w:i/>
        </w:rPr>
        <w:t>r</w:t>
      </w:r>
      <w:r w:rsidRPr="002C7C70">
        <w:rPr>
          <w:rFonts w:asciiTheme="minorHAnsi" w:hAnsiTheme="minorHAnsi" w:cstheme="minorHAnsi"/>
          <w:i/>
        </w:rPr>
        <w:t>kaufsprozesse unter dem Aspekt der Rechtssicherheit analysieren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“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ist die erste Lernsituation des Lernfelds 3 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„</w:t>
      </w:r>
      <w:r w:rsidRPr="002C7C70">
        <w:rPr>
          <w:rFonts w:asciiTheme="minorHAnsi" w:hAnsiTheme="minorHAnsi" w:cstheme="minorHAnsi"/>
          <w:i/>
        </w:rPr>
        <w:t>Verträge im Online-Vertrieb anbahnen und bearbeiten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“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</w:t>
      </w:r>
    </w:p>
    <w:p w:rsidR="00D13619" w:rsidRPr="002C7C70" w:rsidRDefault="00B96BCA" w:rsidP="00EC1D89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Ein wichtiger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EC175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Leitgedanke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in dieser Lernsituation </w:t>
      </w:r>
      <w:r w:rsidR="00EC175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stellt das </w:t>
      </w:r>
      <w:r w:rsidR="00FE223D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Verständnis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für 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die wirtschaftl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chen Bedeutung einer Abmahnung für das Unternehmen und damit einhergehend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den</w:t>
      </w:r>
      <w:r w:rsidR="006D606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v</w:t>
      </w:r>
      <w:r w:rsidR="006D606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</w:t>
      </w:r>
      <w:r w:rsidR="006D606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="006D606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antwortung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svollen Umgang 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mit der rechtssicheren Gestaltung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des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6D606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Online-Vertr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ie</w:t>
      </w:r>
      <w:r w:rsidR="006D606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bskanal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</w:t>
      </w:r>
      <w:r w:rsidR="00FE223D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dar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. 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Eine ebenso große Bedeutung kommt der </w:t>
      </w:r>
      <w:r w:rsidR="00EC175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Sensibil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</w:t>
      </w:r>
      <w:r w:rsidR="00EC175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sierung 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der Lernenden </w:t>
      </w:r>
      <w:r w:rsidR="002179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für </w:t>
      </w:r>
      <w:r w:rsidR="004B635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die 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Dyn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mik und Komplexität </w:t>
      </w:r>
      <w:r w:rsidR="00EC175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der 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für den Online-Vertrieb geltenden </w:t>
      </w:r>
      <w:r w:rsidR="00EC175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Rechtsgebiete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und Rechtsque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l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len</w:t>
      </w:r>
      <w:r w:rsidR="00644467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sowie der Vermittlung geeigneter Problemlösungsstrategien</w:t>
      </w:r>
      <w:r w:rsidR="00D1361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</w:t>
      </w:r>
      <w:r w:rsidR="004B635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u</w:t>
      </w:r>
      <w:r w:rsidR="00644467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</w:p>
    <w:p w:rsidR="00326A54" w:rsidRPr="002C7C70" w:rsidRDefault="00BD54A9" w:rsidP="00F1791A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Zum Aufbau dieser Kompetenzen werden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die Lernenden in die Rolle </w:t>
      </w:r>
      <w:r w:rsidR="004B635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de</w:t>
      </w:r>
      <w:r w:rsidR="00C077D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Kauff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au</w:t>
      </w:r>
      <w:r w:rsidR="00C077D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/des Kau</w:t>
      </w:r>
      <w:r w:rsidR="00C077D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f</w:t>
      </w:r>
      <w:r w:rsidR="00C077D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manns im E-Commerce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331786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eines</w:t>
      </w:r>
      <w:r w:rsidR="000544A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Modellunternehmens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hineinversetzt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, welche</w:t>
      </w:r>
      <w:r w:rsidR="00EB58C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/r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nach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Rück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kop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p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lung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mit </w:t>
      </w:r>
      <w:r w:rsidR="000544A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einer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Juristin verschiedene Abmahnung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en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unter Berücksichtigung der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rechtlichen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Regelungen für den B2B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-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und B2C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-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Bereich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B11C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teamorientiert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auf ihre Korrektheit 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hin analysiert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,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um im nächsten Schritt entsprechende Modifikationen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0544A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im Online</w:t>
      </w:r>
      <w:r w:rsidR="00EB58C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-V</w:t>
      </w:r>
      <w:r w:rsidR="000544A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ertriebskanal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(hier: Onl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ne-Shop)</w:t>
      </w:r>
      <w:r w:rsidR="000544A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vornehmen </w:t>
      </w:r>
      <w:r w:rsidR="00EB58C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oder ggf. einleiten zu können</w:t>
      </w:r>
      <w:r w:rsidR="00407C0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</w:t>
      </w:r>
      <w:r w:rsidR="0098344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</w:p>
    <w:p w:rsidR="00F1791A" w:rsidRPr="002C7C70" w:rsidRDefault="002179D1" w:rsidP="00EC1D89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Den Lernenden wird hierdurch verdeutlicht, </w:t>
      </w:r>
      <w:r w:rsidR="00BD54A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dass 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eine situationsgerechte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Kommunikation </w:t>
      </w:r>
      <w:r w:rsidR="00B11C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an d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</w:t>
      </w:r>
      <w:r w:rsidR="00BD54A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Schnittstelle Rechtsabteilung eine wesentliche Aufgabe eines Kaufmanns/ einer Kauffrau im E-Commerce ist. </w:t>
      </w:r>
      <w:r w:rsidR="00F1791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</w:t>
      </w:r>
      <w:r w:rsidR="00326A54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emnach werden die für diesen Ausbildungsberuf wichtigen </w:t>
      </w:r>
      <w:r w:rsidR="00F1791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sozial-kommunikative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</w:t>
      </w:r>
      <w:r w:rsidR="00F1791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Kompetenzen</w:t>
      </w:r>
      <w:r w:rsidR="00826224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durch </w:t>
      </w:r>
      <w:r w:rsidR="00326A54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kooperative Lern- und Arbeitstechniken</w:t>
      </w:r>
      <w:r w:rsidR="00B11C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im Unte</w:t>
      </w:r>
      <w:r w:rsidR="00043CA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rricht</w:t>
      </w:r>
      <w:r w:rsidR="00826224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gestärkt. 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Dieser Gedanke w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ird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in den weiteren Lernsituationen des Lernfeld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es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3 fortgeführt</w:t>
      </w:r>
      <w:r w:rsidR="00F1791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</w:t>
      </w:r>
    </w:p>
    <w:p w:rsidR="00644467" w:rsidRPr="002C7C70" w:rsidRDefault="00EC1D89" w:rsidP="00EC1D89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Die Schülerinnen und Schüler haben durch die Vermittlung des Lernfeldes 1 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„Das Unterne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h</w:t>
      </w:r>
      <w:r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men präsentieren und die eigene Rolle mitgestalten“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583E7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sowie Lernfeld 2 </w:t>
      </w:r>
      <w:r w:rsidR="00583E7C"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„Sortimente im Online-Vertrieb gestalten und die Beschaffung unterstützen“</w:t>
      </w:r>
      <w:r w:rsidR="00583E7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bereits</w:t>
      </w:r>
      <w:r w:rsidR="008768E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wesentliche Kompetenzen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worben, </w:t>
      </w:r>
      <w:r w:rsidR="0015164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auf die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in dieser Lernsituation</w:t>
      </w:r>
      <w:r w:rsidR="0015164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zurückgegriffen werden kann.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Von besonderer B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deutung sind hier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die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Grundlagen im Umgang mit digitalen Medien wie die gezielte Interne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t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recherche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sowie die Handhabung</w:t>
      </w:r>
      <w:r w:rsidR="00B11C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eines 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Shop</w:t>
      </w:r>
      <w:r w:rsidR="009E245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ystem</w:t>
      </w:r>
      <w:r w:rsidR="00B11C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</w:t>
      </w:r>
      <w:r w:rsidR="009E7598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, die 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Anwendung von Programmen zur Textverarbeitung</w:t>
      </w:r>
      <w:r w:rsidR="00C65D9D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,</w:t>
      </w:r>
      <w:r w:rsidR="00AC4D5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zur Präsentation von Inhalten und der Umgang mit Gesetzestexten.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Erwe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tert wird dieses Anwendungs-Know-</w:t>
      </w:r>
      <w:r w:rsidR="00C65D9D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H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ow durch </w:t>
      </w:r>
      <w:r w:rsidR="00583E7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das Erstellen </w:t>
      </w:r>
      <w:r w:rsidR="00644467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verschiedener Formulare für den Onlineshop sowie </w:t>
      </w:r>
      <w:r w:rsidR="00583E7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einer Checkliste</w:t>
      </w:r>
      <w:r w:rsidR="00707BC3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zur rechtssicheren Gestaltung</w:t>
      </w:r>
      <w:r w:rsidR="00B11C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der Verkaufsprozesse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</w:t>
      </w:r>
      <w:r w:rsidR="00644467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3D169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Hier zeigt sich die Verknüpfung von berufsbezogenen und berufsübergreifenden Kompete</w:t>
      </w:r>
      <w:r w:rsidR="003D169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</w:t>
      </w:r>
      <w:r w:rsidR="003D169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zen, da die Lernenden</w:t>
      </w:r>
      <w:r w:rsidR="00E7649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z.B.</w:t>
      </w:r>
      <w:r w:rsidR="003D169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für den Umgang mit Rechtsquellen über </w:t>
      </w:r>
      <w:r w:rsidR="00F15FB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verschiedene </w:t>
      </w:r>
      <w:r w:rsidR="003D169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Methoden</w:t>
      </w:r>
      <w:r w:rsidR="00F15FB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zum sprachsensiblen Erwerb des juristischen Fachwortschatzes </w:t>
      </w:r>
      <w:r w:rsidR="00E7649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(z.B. Scaffolding)</w:t>
      </w:r>
      <w:r w:rsidR="003D169B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verfügen</w:t>
      </w:r>
      <w:r w:rsidR="00E7649C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müssen.</w:t>
      </w:r>
    </w:p>
    <w:p w:rsidR="003B3512" w:rsidRPr="002C7C70" w:rsidRDefault="000544AF" w:rsidP="00C077D2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Im Sinne einer spiralcurricularen Kompetenzentwicklung </w:t>
      </w:r>
      <w:r w:rsidR="00CB46A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sind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detaillierte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Informationen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zur Vertragsgestaltung </w:t>
      </w:r>
      <w:r w:rsidR="00B44EE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(Zustandekommen des Vertrages, </w:t>
      </w:r>
      <w:r w:rsidR="0015164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Verpflichtungs- und Verfügungsg</w:t>
      </w:r>
      <w:r w:rsidR="0015164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</w:t>
      </w:r>
      <w:r w:rsidR="0015164A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schäft</w:t>
      </w:r>
      <w:r w:rsidR="00F843C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, </w:t>
      </w:r>
      <w:r w:rsidR="00B44EE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Gewährleistungsrechte, Garantie</w:t>
      </w:r>
      <w:r w:rsidR="00F843C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) 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bei der Analyse 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de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A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llgemeinen Geschäftsbedi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gungen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nicht als Bestandteil vorgesehen. Dies</w:t>
      </w:r>
      <w:r w:rsidR="00B44EE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 Inhalte sind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Gegenstand d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er Lernsituation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3.2 </w:t>
      </w:r>
      <w:r w:rsidR="00502279"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„Vertragsabschlüsse im Online-Vertrieb rechtswirksam gestalten und abwickeln</w:t>
      </w:r>
      <w:r w:rsidR="00502279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“</w:t>
      </w:r>
      <w:r w:rsidR="00B44EE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sowie des Lernfelds 5 </w:t>
      </w:r>
      <w:r w:rsidR="00B44EE1" w:rsidRPr="002C7C70">
        <w:rPr>
          <w:rFonts w:asciiTheme="minorHAnsi" w:eastAsia="Calibri" w:hAnsiTheme="minorHAnsi"/>
          <w:i/>
          <w:color w:val="000000" w:themeColor="text1"/>
          <w:szCs w:val="24"/>
          <w:lang w:eastAsia="en-US"/>
        </w:rPr>
        <w:t>„Rückabwicklungsprozesse und Leistungsstörungen bearbeiten“</w:t>
      </w:r>
      <w:r w:rsidR="00B44EE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. 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Dagegen werden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die Kenntnisse zu den rechtlichen Regelungen zu</w:t>
      </w:r>
      <w:r w:rsidR="00F843C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den Preisangaben, welche die Le</w:t>
      </w:r>
      <w:r w:rsidR="00F843C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r</w:t>
      </w:r>
      <w:r w:rsidR="00F843CF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nenden bereits im Lernfeld 2 erworben haben</w:t>
      </w:r>
      <w:r w:rsidR="00066AD1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, überprüft und vertieft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</w:t>
      </w:r>
      <w:r w:rsidR="002447DE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</w:p>
    <w:p w:rsidR="00B11C01" w:rsidRPr="002C7C70" w:rsidRDefault="00B11C01" w:rsidP="003B3512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</w:p>
    <w:p w:rsidR="003B3512" w:rsidRPr="002C7C70" w:rsidRDefault="00B11C01" w:rsidP="003B3512">
      <w:pPr>
        <w:spacing w:before="120"/>
        <w:jc w:val="both"/>
        <w:rPr>
          <w:rFonts w:asciiTheme="minorHAnsi" w:eastAsia="Calibri" w:hAnsiTheme="minorHAnsi"/>
          <w:color w:val="000000" w:themeColor="text1"/>
          <w:szCs w:val="24"/>
          <w:lang w:eastAsia="en-US"/>
        </w:rPr>
      </w:pP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Im Rahmen des Themenbereiches Datenschutz und Datensicherheit setzt diese Lernsituation ihren Schwerpunkt auf den Umgang mit personenbezogenen Daten gemäß Bundesdate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schutzgesetz und Datenschutzgrundverordnung</w:t>
      </w:r>
      <w:r w:rsidR="004D2DE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(informatische Kenntnisse).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Die Schüleri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nen und Schüler überprüfen die Einhaltung von Vorschriften zum Datenschutz und leiten erforderliche Maßnahmen</w:t>
      </w:r>
      <w:r w:rsidR="004D2DE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ein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. Sie reflektieren die Bedeutung des Datenschutzes und der Datensicherheit im Hinblick auf die Verwendung von Kundendaten, aber auch für ihr eigenes Leben und die Mitverantwortung in der Gesellschaft</w:t>
      </w:r>
      <w:r w:rsidR="004D2DE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(Medienkompetenz). 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In der Lernsituat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on 3.1 wird a</w:t>
      </w:r>
      <w:r w:rsidR="004D2DE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u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f die 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im Lernfeld 1 erlangten Kompetenzen hinsichtlich der betrieblichen Reg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e</w:t>
      </w:r>
      <w:r w:rsidR="003B3512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>lungen zum Datenschutz und zur Datensicherheit zurückgegriffen.</w:t>
      </w:r>
      <w:r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  <w:r w:rsidR="004D2DE0" w:rsidRPr="002C7C70">
        <w:rPr>
          <w:rFonts w:asciiTheme="minorHAnsi" w:eastAsia="Calibri" w:hAnsiTheme="minorHAnsi"/>
          <w:color w:val="000000" w:themeColor="text1"/>
          <w:szCs w:val="24"/>
          <w:lang w:eastAsia="en-US"/>
        </w:rPr>
        <w:t xml:space="preserve"> </w:t>
      </w:r>
    </w:p>
    <w:p w:rsidR="00590DFF" w:rsidRPr="002C7C70" w:rsidRDefault="004D2DE0" w:rsidP="00120B56">
      <w:pPr>
        <w:spacing w:before="360"/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2C7C70">
        <w:rPr>
          <w:rFonts w:asciiTheme="minorHAnsi" w:hAnsiTheme="minorHAnsi"/>
          <w:b/>
          <w:color w:val="000000" w:themeColor="text1"/>
          <w:szCs w:val="24"/>
        </w:rPr>
        <w:t xml:space="preserve">Hinweise zu den Unterrichtsmaterialien </w:t>
      </w:r>
    </w:p>
    <w:p w:rsidR="00CF205E" w:rsidRPr="002C7C70" w:rsidRDefault="00CF205E" w:rsidP="00590DFF">
      <w:pPr>
        <w:pStyle w:val="WBVGGrundtext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CF205E" w:rsidRPr="002C7C70" w:rsidRDefault="009E6382" w:rsidP="00A300CB">
      <w:pPr>
        <w:pStyle w:val="WBVGGrundtext"/>
        <w:shd w:val="clear" w:color="auto" w:fill="D9D9D9" w:themeFill="background1" w:themeFillShade="D9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Abmahnungen</w:t>
      </w:r>
    </w:p>
    <w:p w:rsidR="003D73D8" w:rsidRPr="002C7C70" w:rsidRDefault="009E6382" w:rsidP="00590DFF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Die </w:t>
      </w:r>
      <w:r w:rsidR="004D2DE0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Schülerinnen und Schüler </w:t>
      </w: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erhalten Abmahnungen</w:t>
      </w:r>
      <w:r w:rsidR="00E51C71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zu den </w:t>
      </w:r>
      <w:r w:rsidR="003D73D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Inhalten</w:t>
      </w:r>
      <w:r w:rsidR="00E51C71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:</w:t>
      </w:r>
    </w:p>
    <w:p w:rsidR="003D73D8" w:rsidRPr="002C7C70" w:rsidRDefault="003D73D8" w:rsidP="003D73D8">
      <w:pPr>
        <w:pStyle w:val="WBVGGrundtext"/>
        <w:numPr>
          <w:ilvl w:val="0"/>
          <w:numId w:val="18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Verstoß Datenschutz</w:t>
      </w:r>
    </w:p>
    <w:p w:rsidR="003D73D8" w:rsidRPr="002C7C70" w:rsidRDefault="003D73D8" w:rsidP="003D73D8">
      <w:pPr>
        <w:pStyle w:val="WBVGGrundtext"/>
        <w:numPr>
          <w:ilvl w:val="0"/>
          <w:numId w:val="18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Verstoß Fernabsatzrecht</w:t>
      </w:r>
    </w:p>
    <w:p w:rsidR="003D73D8" w:rsidRPr="002C7C70" w:rsidRDefault="003D73D8" w:rsidP="003D73D8">
      <w:pPr>
        <w:pStyle w:val="WBVGGrundtext"/>
        <w:numPr>
          <w:ilvl w:val="0"/>
          <w:numId w:val="18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Verstoß Impressum</w:t>
      </w:r>
    </w:p>
    <w:p w:rsidR="003D73D8" w:rsidRPr="002C7C70" w:rsidRDefault="003D73D8" w:rsidP="003D73D8">
      <w:pPr>
        <w:pStyle w:val="WBVGGrundtext"/>
        <w:numPr>
          <w:ilvl w:val="0"/>
          <w:numId w:val="18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Verstoß Informationspflichten</w:t>
      </w:r>
      <w:r w:rsidR="00E51C71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:rsidR="00E51C71" w:rsidRPr="002C7C70" w:rsidRDefault="00F27418" w:rsidP="003D73D8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Dementsprechend sollten </w:t>
      </w:r>
      <w:r w:rsidR="00E51C71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für das jeweilige Modellunternehmen auch entsprechende Dok</w:t>
      </w:r>
      <w:r w:rsidR="00E51C71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u</w:t>
      </w:r>
      <w:r w:rsidR="00E51C71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mente vorliegen, damit eine Überprüfung möglich wird.</w:t>
      </w:r>
    </w:p>
    <w:p w:rsidR="00B67348" w:rsidRPr="002C7C70" w:rsidRDefault="00B67348" w:rsidP="00590DFF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:rsidR="00B42FA2" w:rsidRPr="002C7C70" w:rsidRDefault="009E6382" w:rsidP="00A300CB">
      <w:pPr>
        <w:pStyle w:val="WBVGGrundtext"/>
        <w:shd w:val="clear" w:color="auto" w:fill="D9D9D9" w:themeFill="background1" w:themeFillShade="D9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Rechtsquellen</w:t>
      </w:r>
    </w:p>
    <w:p w:rsidR="00B42FA2" w:rsidRPr="002C7C70" w:rsidRDefault="00E51C71" w:rsidP="00B42FA2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Bei der Internetrecherche </w:t>
      </w:r>
      <w:r w:rsidR="00A300CB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sollte darauf geachtet</w:t>
      </w:r>
      <w:r w:rsidR="00B6734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, dass die Schüler</w:t>
      </w:r>
      <w:r w:rsidR="004D2DE0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innen und Schüler</w:t>
      </w:r>
      <w:r w:rsidR="00B6734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mit a</w:t>
      </w:r>
      <w:r w:rsidR="00B6734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k</w:t>
      </w:r>
      <w:r w:rsidR="00B6734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tuellen </w:t>
      </w:r>
      <w:r w:rsidR="00B42FA2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Rechtsurteilen </w:t>
      </w:r>
      <w:r w:rsidR="00B6734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arbeiten</w:t>
      </w:r>
      <w:r w:rsidR="00A300CB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:rsidR="00B67348" w:rsidRPr="002C7C70" w:rsidRDefault="00B67348" w:rsidP="009E6382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Darüber hinaus empfehlen wir, mit den entsprechenden Rechtsquellen </w:t>
      </w:r>
      <w:r w:rsidR="00120B5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zu </w:t>
      </w: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arbeiten. Diese sind insbesondere:</w:t>
      </w:r>
    </w:p>
    <w:p w:rsidR="00B67348" w:rsidRPr="002C7C70" w:rsidRDefault="00B67348" w:rsidP="00B67348">
      <w:pPr>
        <w:pStyle w:val="WBVGGrundtext"/>
        <w:numPr>
          <w:ilvl w:val="0"/>
          <w:numId w:val="17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Bürgerliche Gesetzbuch (BGB)</w:t>
      </w:r>
    </w:p>
    <w:p w:rsidR="00B67348" w:rsidRPr="002C7C70" w:rsidRDefault="00B67348" w:rsidP="00B67348">
      <w:pPr>
        <w:pStyle w:val="WBVGGrundtext"/>
        <w:numPr>
          <w:ilvl w:val="0"/>
          <w:numId w:val="17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Bundesdatenschutzgesetz (BDSG)</w:t>
      </w:r>
    </w:p>
    <w:p w:rsidR="00B67348" w:rsidRPr="002C7C70" w:rsidRDefault="00B67348" w:rsidP="00B67348">
      <w:pPr>
        <w:pStyle w:val="WBVGGrundtext"/>
        <w:numPr>
          <w:ilvl w:val="0"/>
          <w:numId w:val="17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Datenschutzgrundverordnung (DSGVO) </w:t>
      </w:r>
    </w:p>
    <w:p w:rsidR="00087AA6" w:rsidRPr="002C7C70" w:rsidRDefault="00087AA6" w:rsidP="00087AA6">
      <w:pPr>
        <w:pStyle w:val="WBVGGrundtext"/>
        <w:numPr>
          <w:ilvl w:val="0"/>
          <w:numId w:val="17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Preisangabenverordnung (PAngV)</w:t>
      </w:r>
    </w:p>
    <w:p w:rsidR="00B67348" w:rsidRPr="002C7C70" w:rsidRDefault="00B67348" w:rsidP="00B67348">
      <w:pPr>
        <w:pStyle w:val="WBVGGrundtext"/>
        <w:numPr>
          <w:ilvl w:val="0"/>
          <w:numId w:val="17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Telemediagesetz (TMG)</w:t>
      </w:r>
    </w:p>
    <w:p w:rsidR="00CB2D02" w:rsidRPr="002C7C70" w:rsidRDefault="00B67348" w:rsidP="00CB2D02">
      <w:pPr>
        <w:pStyle w:val="WBVGGrundtext"/>
        <w:numPr>
          <w:ilvl w:val="0"/>
          <w:numId w:val="17"/>
        </w:numPr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Urhebergesetz (UrhG)</w:t>
      </w:r>
    </w:p>
    <w:p w:rsidR="00CB2D02" w:rsidRPr="002C7C70" w:rsidRDefault="00CB2D02" w:rsidP="00CB2D02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:rsidR="009E6382" w:rsidRPr="002C7C70" w:rsidRDefault="009E6382" w:rsidP="009E6382">
      <w:pPr>
        <w:pStyle w:val="WBVGGrundtext"/>
        <w:shd w:val="clear" w:color="auto" w:fill="D9D9D9" w:themeFill="background1" w:themeFillShade="D9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Daten aus dem Online-Shop</w:t>
      </w:r>
    </w:p>
    <w:p w:rsidR="00087AA6" w:rsidRPr="002C7C70" w:rsidRDefault="00120B56" w:rsidP="00590DFF">
      <w:pPr>
        <w:pStyle w:val="WBVGGrundtext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Sofern an der Schule ein </w:t>
      </w:r>
      <w:r w:rsidR="009E6382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Online-Shop implementiert </w:t>
      </w: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ist, </w:t>
      </w:r>
      <w:r w:rsidR="009E6382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so </w:t>
      </w:r>
      <w:r w:rsidR="00087AA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können die Schüler</w:t>
      </w: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innen und Schüler</w:t>
      </w:r>
      <w:r w:rsidR="00087AA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am Fron</w:t>
      </w:r>
      <w:r w:rsidR="00A300CB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087AA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end überprüfen, an welche Stelle im Verkaufsprozess personenbezogene Daten erhoben und im </w:t>
      </w:r>
      <w:r w:rsidR="00125A5B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Anschluss</w:t>
      </w:r>
      <w:r w:rsidR="00087AA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im </w:t>
      </w:r>
      <w:r w:rsidR="00A300CB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B</w:t>
      </w:r>
      <w:r w:rsidR="00087AA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ackend gespeichert werden.</w:t>
      </w:r>
    </w:p>
    <w:p w:rsidR="009E6382" w:rsidRPr="002C7C70" w:rsidRDefault="009E6382" w:rsidP="00590DFF">
      <w:pPr>
        <w:pStyle w:val="WBVGGrundtext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:rsidR="00B11CD1" w:rsidRPr="002C7C70" w:rsidRDefault="00B11CD1" w:rsidP="00590DFF">
      <w:pPr>
        <w:pStyle w:val="WBVGGrundtext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:rsidR="00B11CD1" w:rsidRPr="002C7C70" w:rsidRDefault="00B11CD1" w:rsidP="00590DFF">
      <w:pPr>
        <w:pStyle w:val="WBVGGrundtext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:rsidR="003D6D18" w:rsidRPr="002C7C70" w:rsidRDefault="009E6382" w:rsidP="00B42FA2">
      <w:pPr>
        <w:pStyle w:val="WBVGGrundtext"/>
        <w:shd w:val="clear" w:color="auto" w:fill="D9D9D9" w:themeFill="background1" w:themeFillShade="D9"/>
        <w:spacing w:before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b/>
          <w:color w:val="000000" w:themeColor="text1"/>
          <w:sz w:val="24"/>
          <w:szCs w:val="24"/>
        </w:rPr>
        <w:lastRenderedPageBreak/>
        <w:t>Checkliste zur rechtssicheren Gestaltung eines Onlineshops</w:t>
      </w:r>
    </w:p>
    <w:p w:rsidR="00120B56" w:rsidRPr="002C7C70" w:rsidRDefault="00A300CB" w:rsidP="00120B56">
      <w:pPr>
        <w:pStyle w:val="WBVGGrundtext"/>
        <w:shd w:val="clear" w:color="auto" w:fill="FFFFFF" w:themeFill="background1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Die dargestellte Muster</w:t>
      </w:r>
      <w:r w:rsidR="00120B5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-C</w:t>
      </w:r>
      <w:r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heckliste enthält Mindestanforderungen, </w:t>
      </w:r>
      <w:r w:rsidR="003D73D8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>die je nach Branche noch spezifiziert werden können</w:t>
      </w:r>
      <w:r w:rsidR="00120B56" w:rsidRPr="002C7C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. </w:t>
      </w:r>
      <w:r w:rsidR="00A12122" w:rsidRPr="002C7C70">
        <w:rPr>
          <w:rFonts w:asciiTheme="minorHAnsi" w:hAnsiTheme="minorHAnsi" w:cs="Times New Roman"/>
          <w:i/>
          <w:color w:val="000000" w:themeColor="text1"/>
          <w:sz w:val="24"/>
          <w:szCs w:val="24"/>
        </w:rPr>
        <w:t xml:space="preserve">Siehe Datei </w:t>
      </w:r>
      <w:r w:rsidR="00120B56" w:rsidRPr="002C7C70">
        <w:rPr>
          <w:rFonts w:asciiTheme="minorHAnsi" w:hAnsiTheme="minorHAnsi" w:cs="Times New Roman"/>
          <w:i/>
          <w:color w:val="000000" w:themeColor="text1"/>
          <w:sz w:val="24"/>
          <w:szCs w:val="24"/>
        </w:rPr>
        <w:t>4_LF3_Mindestanforderungen_Checkliste_LS3.1_6 mit Angabe der Quelle</w:t>
      </w:r>
    </w:p>
    <w:p w:rsidR="00120B56" w:rsidRPr="002C7C70" w:rsidRDefault="00120B56" w:rsidP="00120B56">
      <w:pPr>
        <w:pStyle w:val="WBVGGrundtext"/>
        <w:shd w:val="clear" w:color="auto" w:fill="FFFFFF" w:themeFill="background1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1351"/>
        <w:gridCol w:w="5307"/>
        <w:gridCol w:w="2976"/>
      </w:tblGrid>
      <w:tr w:rsidR="00A12122" w:rsidRPr="002C7C70" w:rsidTr="001752FF">
        <w:tc>
          <w:tcPr>
            <w:tcW w:w="9634" w:type="dxa"/>
            <w:gridSpan w:val="3"/>
          </w:tcPr>
          <w:p w:rsidR="00A12122" w:rsidRPr="002C7C70" w:rsidRDefault="00A12122" w:rsidP="00A12122">
            <w:pPr>
              <w:pStyle w:val="WBVGGrundtext"/>
              <w:shd w:val="clear" w:color="auto" w:fill="FFFFFF" w:themeFill="background1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C70">
              <w:rPr>
                <w:rFonts w:cs="Times New Roman"/>
                <w:b/>
                <w:color w:val="000000" w:themeColor="text1"/>
                <w:sz w:val="24"/>
                <w:szCs w:val="24"/>
              </w:rPr>
              <w:t>Strukturierung der Lernsituation über die vollständige Handlung</w:t>
            </w:r>
          </w:p>
          <w:p w:rsidR="00A12122" w:rsidRPr="002C7C70" w:rsidRDefault="00A12122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208DB" w:rsidRPr="002C7C70" w:rsidTr="00D64DA9">
        <w:tc>
          <w:tcPr>
            <w:tcW w:w="6658" w:type="dxa"/>
            <w:gridSpan w:val="2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Handlungsphasen der Lerngruppe</w:t>
            </w:r>
          </w:p>
        </w:tc>
        <w:tc>
          <w:tcPr>
            <w:tcW w:w="2976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Mögliche Methoden, Medien, Arbeits- und Sozialformen</w:t>
            </w:r>
          </w:p>
        </w:tc>
      </w:tr>
      <w:tr w:rsidR="00A208DB" w:rsidRPr="002C7C70" w:rsidTr="00D64DA9">
        <w:tc>
          <w:tcPr>
            <w:tcW w:w="1351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Analysieren/</w:t>
            </w:r>
          </w:p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Informieren</w:t>
            </w:r>
          </w:p>
        </w:tc>
        <w:tc>
          <w:tcPr>
            <w:tcW w:w="5307" w:type="dxa"/>
          </w:tcPr>
          <w:p w:rsidR="00BF1155" w:rsidRPr="002C7C70" w:rsidRDefault="00BF1155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Problemstellung erfassen:</w:t>
            </w:r>
          </w:p>
          <w:p w:rsidR="00590DFF" w:rsidRPr="002C7C70" w:rsidRDefault="00BF1155" w:rsidP="00BF1155">
            <w:pPr>
              <w:pStyle w:val="WBVGListePfeilGrn"/>
              <w:numPr>
                <w:ilvl w:val="0"/>
                <w:numId w:val="13"/>
              </w:numPr>
              <w:spacing w:before="60" w:after="60"/>
              <w:ind w:left="608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Bedeutung der Abmahnung für das Unternehmen</w:t>
            </w:r>
          </w:p>
          <w:p w:rsidR="00590DFF" w:rsidRPr="002C7C70" w:rsidRDefault="00BF1155" w:rsidP="00BF1155">
            <w:pPr>
              <w:pStyle w:val="WBVGListePfeilGrn"/>
              <w:numPr>
                <w:ilvl w:val="0"/>
                <w:numId w:val="13"/>
              </w:numPr>
              <w:spacing w:before="60" w:after="60"/>
              <w:ind w:left="608" w:hanging="28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Ist die Abmahnung gerechtfertigt?</w:t>
            </w:r>
          </w:p>
        </w:tc>
        <w:tc>
          <w:tcPr>
            <w:tcW w:w="2976" w:type="dxa"/>
          </w:tcPr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Unterrichtsgespräch</w:t>
            </w:r>
          </w:p>
          <w:p w:rsidR="00590DFF" w:rsidRPr="002C7C70" w:rsidRDefault="003926C3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Brainstorming</w:t>
            </w:r>
          </w:p>
          <w:p w:rsidR="003926C3" w:rsidRPr="002C7C70" w:rsidRDefault="003926C3" w:rsidP="00BC2914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208DB" w:rsidRPr="002C7C70" w:rsidTr="00D64DA9">
        <w:tc>
          <w:tcPr>
            <w:tcW w:w="1351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Planen</w:t>
            </w:r>
          </w:p>
        </w:tc>
        <w:tc>
          <w:tcPr>
            <w:tcW w:w="5307" w:type="dxa"/>
          </w:tcPr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Arbeitsschritte festlegen</w:t>
            </w:r>
          </w:p>
          <w:p w:rsidR="00BF1155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Ergebnissicherung absprechen</w:t>
            </w:r>
            <w:r w:rsidR="00BF1155" w:rsidRPr="002C7C70">
              <w:rPr>
                <w:rFonts w:cs="Times New Roman"/>
                <w:color w:val="000000" w:themeColor="text1"/>
                <w:sz w:val="20"/>
                <w:szCs w:val="20"/>
              </w:rPr>
              <w:t>: Anforderungskriterien für Checkliste.</w:t>
            </w:r>
          </w:p>
          <w:p w:rsidR="00BF1155" w:rsidRPr="002C7C70" w:rsidRDefault="00BF1155" w:rsidP="00BF1155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Datenquellen und Fundstellen festlegen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Formen der Dokumentation und Präsentation absprechen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Zeitrahmen </w:t>
            </w:r>
            <w:r w:rsidR="004D71A8" w:rsidRPr="002C7C70">
              <w:rPr>
                <w:rFonts w:cs="Times New Roman"/>
                <w:color w:val="000000" w:themeColor="text1"/>
                <w:sz w:val="20"/>
                <w:szCs w:val="20"/>
              </w:rPr>
              <w:t>festlegen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Aufgabenverteilung vornehmen</w:t>
            </w:r>
            <w:r w:rsidR="00BF1155"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 hinsichtlich Unters</w:t>
            </w:r>
            <w:r w:rsidR="00BF1155" w:rsidRPr="002C7C70">
              <w:rPr>
                <w:rFonts w:cs="Times New Roman"/>
                <w:color w:val="000000" w:themeColor="text1"/>
                <w:sz w:val="20"/>
                <w:szCs w:val="20"/>
              </w:rPr>
              <w:t>u</w:t>
            </w:r>
            <w:r w:rsidR="00BF1155" w:rsidRPr="002C7C70">
              <w:rPr>
                <w:rFonts w:cs="Times New Roman"/>
                <w:color w:val="000000" w:themeColor="text1"/>
                <w:sz w:val="20"/>
                <w:szCs w:val="20"/>
              </w:rPr>
              <w:t>chung der unterschiedlichen Abmahnungsgründe</w:t>
            </w:r>
          </w:p>
        </w:tc>
        <w:tc>
          <w:tcPr>
            <w:tcW w:w="2976" w:type="dxa"/>
          </w:tcPr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Arbeits- und Information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material </w:t>
            </w:r>
            <w:r w:rsidR="00BC2914"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 (Gesetzestexte, I</w:t>
            </w:r>
            <w:r w:rsidR="00BC2914" w:rsidRPr="002C7C70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="00BC2914" w:rsidRPr="002C7C70">
              <w:rPr>
                <w:rFonts w:cs="Times New Roman"/>
                <w:color w:val="000000" w:themeColor="text1"/>
                <w:sz w:val="20"/>
                <w:szCs w:val="20"/>
              </w:rPr>
              <w:t>ternetquellen…)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Arbeitsplan mit Zeitstrahl und Aufgabenverteilung</w:t>
            </w:r>
          </w:p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arbeitsteilige Gruppenarbeit</w:t>
            </w:r>
          </w:p>
          <w:p w:rsidR="00590DFF" w:rsidRPr="002C7C70" w:rsidRDefault="00590DFF" w:rsidP="00EF73A6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208DB" w:rsidRPr="002C7C70" w:rsidTr="00D64DA9">
        <w:tc>
          <w:tcPr>
            <w:tcW w:w="1351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Durchführen</w:t>
            </w:r>
          </w:p>
        </w:tc>
        <w:tc>
          <w:tcPr>
            <w:tcW w:w="5307" w:type="dxa"/>
          </w:tcPr>
          <w:p w:rsidR="00590DFF" w:rsidRPr="002C7C70" w:rsidRDefault="008E019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Rechtsquellen sichten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unbekannte Begriffe und Inhalte klären </w:t>
            </w:r>
            <w:r w:rsidR="008E0191" w:rsidRPr="002C7C70">
              <w:rPr>
                <w:rFonts w:cs="Times New Roman"/>
                <w:color w:val="000000" w:themeColor="text1"/>
                <w:sz w:val="20"/>
                <w:szCs w:val="20"/>
              </w:rPr>
              <w:t>ggf. mit Komme</w:t>
            </w:r>
            <w:r w:rsidR="008E0191" w:rsidRPr="002C7C70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="008E0191" w:rsidRPr="002C7C70">
              <w:rPr>
                <w:rFonts w:cs="Times New Roman"/>
                <w:color w:val="000000" w:themeColor="text1"/>
                <w:sz w:val="20"/>
                <w:szCs w:val="20"/>
              </w:rPr>
              <w:t>tierungen und Hilfestellung über Internetrecherche</w:t>
            </w:r>
          </w:p>
          <w:p w:rsidR="00590DFF" w:rsidRPr="002C7C70" w:rsidRDefault="008E019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Überprüfung der Abmahnungen hinsichtlich der Richti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g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keit</w:t>
            </w:r>
            <w:r w:rsidR="00A12122"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 und Dokumentation der Ergebnisse</w:t>
            </w:r>
          </w:p>
          <w:p w:rsidR="00590DFF" w:rsidRPr="002C7C70" w:rsidRDefault="008E019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Ableitung weiter einzuleitender Schritte</w:t>
            </w:r>
          </w:p>
          <w:p w:rsidR="008E0191" w:rsidRPr="002C7C70" w:rsidRDefault="008E019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Erstellung Muster-AGB</w:t>
            </w:r>
          </w:p>
          <w:p w:rsidR="008E0191" w:rsidRPr="002C7C70" w:rsidRDefault="008E019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Erstellung Muster -Widerrufsbelehrung</w:t>
            </w:r>
          </w:p>
          <w:p w:rsidR="008E0191" w:rsidRPr="002C7C70" w:rsidRDefault="008E019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Erstellung Datenschutzerklärung</w:t>
            </w:r>
          </w:p>
          <w:p w:rsidR="00934B31" w:rsidRPr="002C7C70" w:rsidRDefault="00934B3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Erstellung Checkliste zur Vermeidung zukünftiger Abma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h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nungen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Dokumentation verfassen und </w:t>
            </w:r>
            <w:r w:rsidR="008E0191" w:rsidRPr="002C7C70">
              <w:rPr>
                <w:rFonts w:cs="Times New Roman"/>
                <w:color w:val="000000" w:themeColor="text1"/>
                <w:sz w:val="20"/>
                <w:szCs w:val="20"/>
              </w:rPr>
              <w:t>adressatengerechte Pr</w:t>
            </w:r>
            <w:r w:rsidR="008E0191" w:rsidRPr="002C7C70">
              <w:rPr>
                <w:rFonts w:cs="Times New Roman"/>
                <w:color w:val="000000" w:themeColor="text1"/>
                <w:sz w:val="20"/>
                <w:szCs w:val="20"/>
              </w:rPr>
              <w:t>ä</w:t>
            </w:r>
            <w:r w:rsidR="008E0191" w:rsidRPr="002C7C70">
              <w:rPr>
                <w:rFonts w:cs="Times New Roman"/>
                <w:color w:val="000000" w:themeColor="text1"/>
                <w:sz w:val="20"/>
                <w:szCs w:val="20"/>
              </w:rPr>
              <w:t>sentation</w:t>
            </w:r>
          </w:p>
        </w:tc>
        <w:tc>
          <w:tcPr>
            <w:tcW w:w="2976" w:type="dxa"/>
          </w:tcPr>
          <w:p w:rsidR="00BC2914" w:rsidRPr="002C7C70" w:rsidRDefault="00BC2914" w:rsidP="00BC2914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Arbeits- und Information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material  (Gesetzestexte, I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ternetquellen…)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Lehrbuch</w:t>
            </w:r>
          </w:p>
          <w:p w:rsidR="00B11CD1" w:rsidRPr="002C7C70" w:rsidRDefault="00B11CD1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Ergänzende Literatur 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Internetrecherche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Arbeitsplan</w:t>
            </w:r>
          </w:p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Checkliste inkl. Anford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rungskriterien</w:t>
            </w:r>
          </w:p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Muster-AGB, Muster- Wide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rufsbelehrung, Datenschu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zerklärung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Programme für Textverarbe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i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tung und Visualisierungen von Inhalten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Präsentation</w:t>
            </w:r>
          </w:p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arbeitsteilige Gruppenarbeit</w:t>
            </w:r>
          </w:p>
        </w:tc>
      </w:tr>
      <w:tr w:rsidR="00A208DB" w:rsidRPr="002C7C70" w:rsidTr="00D64DA9">
        <w:tc>
          <w:tcPr>
            <w:tcW w:w="1351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Kontrollieren</w:t>
            </w:r>
          </w:p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Bewerten</w:t>
            </w:r>
          </w:p>
        </w:tc>
        <w:tc>
          <w:tcPr>
            <w:tcW w:w="5307" w:type="dxa"/>
          </w:tcPr>
          <w:p w:rsidR="00934B31" w:rsidRPr="002C7C70" w:rsidRDefault="00934B31" w:rsidP="00934B31">
            <w:pPr>
              <w:pStyle w:val="WBVGListePfeilGrn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Beurteilung der Muster-Formulare</w:t>
            </w:r>
          </w:p>
          <w:p w:rsidR="00590DFF" w:rsidRPr="002C7C70" w:rsidRDefault="00934B31" w:rsidP="00934B31">
            <w:pPr>
              <w:pStyle w:val="WBVGListePfeilGrn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Beurteilung der vorher aufgestellten Anforderungskrit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rien hinsichtlich Informationsgehalt, Aktualität und Stic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h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haltigkeit, ggf. Ergänzung bzw. Eliminierung</w:t>
            </w:r>
          </w:p>
          <w:p w:rsidR="00590DFF" w:rsidRPr="002C7C70" w:rsidRDefault="00934B31" w:rsidP="00934B31">
            <w:pPr>
              <w:pStyle w:val="WBVGListePfeilGrn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Modifizierung der Checkliste</w:t>
            </w:r>
          </w:p>
        </w:tc>
        <w:tc>
          <w:tcPr>
            <w:tcW w:w="2976" w:type="dxa"/>
          </w:tcPr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Checkliste mit Anforderung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kriterien</w:t>
            </w:r>
          </w:p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Plenumsgespräch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Präsentation</w:t>
            </w:r>
          </w:p>
        </w:tc>
      </w:tr>
    </w:tbl>
    <w:p w:rsidR="00B233BA" w:rsidRPr="002C7C70" w:rsidRDefault="00B233BA">
      <w:pPr>
        <w:rPr>
          <w:rFonts w:asciiTheme="minorHAnsi" w:hAnsiTheme="minorHAnsi"/>
        </w:rPr>
      </w:pP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1351"/>
        <w:gridCol w:w="5307"/>
        <w:gridCol w:w="2976"/>
      </w:tblGrid>
      <w:tr w:rsidR="00A208DB" w:rsidRPr="002C7C70" w:rsidTr="00D64DA9">
        <w:tc>
          <w:tcPr>
            <w:tcW w:w="1351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lastRenderedPageBreak/>
              <w:t>Reflektieren</w:t>
            </w:r>
          </w:p>
        </w:tc>
        <w:tc>
          <w:tcPr>
            <w:tcW w:w="5307" w:type="dxa"/>
          </w:tcPr>
          <w:p w:rsidR="00590DFF" w:rsidRPr="002C7C70" w:rsidRDefault="005D78A2" w:rsidP="005D78A2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Sensibilisierung für die Bedeutung einer Abmahnung hinsichtlich der Konsequenzen für die Existenz des Unte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nehmens</w:t>
            </w:r>
          </w:p>
          <w:p w:rsidR="005D78A2" w:rsidRPr="002C7C70" w:rsidRDefault="005D78A2" w:rsidP="005D78A2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Sensibilisierung für d</w:t>
            </w:r>
            <w:r w:rsidR="00D13619" w:rsidRPr="002C7C70">
              <w:rPr>
                <w:rFonts w:cs="Times New Roman"/>
                <w:color w:val="000000" w:themeColor="text1"/>
                <w:sz w:val="20"/>
                <w:szCs w:val="20"/>
              </w:rPr>
              <w:t>as Verantwortungsbewusstsein einer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1756" w:rsidRPr="002C7C70">
              <w:rPr>
                <w:rFonts w:cs="Times New Roman"/>
                <w:color w:val="000000" w:themeColor="text1"/>
                <w:sz w:val="20"/>
                <w:szCs w:val="20"/>
              </w:rPr>
              <w:t>rechtssichere</w:t>
            </w:r>
            <w:r w:rsidR="00D13619" w:rsidRPr="002C7C70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="00EC1756"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 Gestaltung eines 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Online-Shops</w:t>
            </w:r>
          </w:p>
          <w:p w:rsidR="00590DFF" w:rsidRPr="002C7C70" w:rsidRDefault="005D78A2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Sensibilisierung für die Schnelllebigkeit der Gesetzes</w:t>
            </w:r>
            <w:r w:rsidR="0052582B" w:rsidRPr="002C7C70">
              <w:rPr>
                <w:rFonts w:cs="Times New Roman"/>
                <w:color w:val="000000" w:themeColor="text1"/>
                <w:sz w:val="20"/>
                <w:szCs w:val="20"/>
              </w:rPr>
              <w:t>änd</w:t>
            </w:r>
            <w:r w:rsidR="0052582B" w:rsidRPr="002C7C70">
              <w:rPr>
                <w:rFonts w:cs="Times New Roman"/>
                <w:color w:val="000000" w:themeColor="text1"/>
                <w:sz w:val="20"/>
                <w:szCs w:val="20"/>
              </w:rPr>
              <w:t>e</w:t>
            </w:r>
            <w:r w:rsidR="0052582B" w:rsidRPr="002C7C70">
              <w:rPr>
                <w:rFonts w:cs="Times New Roman"/>
                <w:color w:val="000000" w:themeColor="text1"/>
                <w:sz w:val="20"/>
                <w:szCs w:val="20"/>
              </w:rPr>
              <w:t>rungen im Online-Vertrieb (B2B, B2C)</w:t>
            </w:r>
          </w:p>
          <w:p w:rsidR="00462534" w:rsidRPr="002C7C70" w:rsidRDefault="0046253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Reflexion de</w:t>
            </w:r>
            <w:r w:rsidR="004D71A8" w:rsidRPr="002C7C70">
              <w:rPr>
                <w:rFonts w:cs="Times New Roman"/>
                <w:color w:val="000000" w:themeColor="text1"/>
                <w:sz w:val="20"/>
                <w:szCs w:val="20"/>
              </w:rPr>
              <w:t>r Bedeutung der Themenbereiche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 Date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schutz und Datensicherheit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Erkenntnisse auf den eigenen Lern- und Arbeits- sowie Gruppenarbeitsprozess anwenden</w:t>
            </w:r>
          </w:p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Verbesserungsvorschläge aufnehmen</w:t>
            </w:r>
          </w:p>
        </w:tc>
        <w:tc>
          <w:tcPr>
            <w:tcW w:w="2976" w:type="dxa"/>
          </w:tcPr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Diskussion, Unterrichtsg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e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spräch</w:t>
            </w:r>
          </w:p>
          <w:p w:rsidR="00BC2914" w:rsidRPr="002C7C70" w:rsidRDefault="00BC2914" w:rsidP="00BC2914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Dokumentation der wichtig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>s</w:t>
            </w: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ten Erkenntnisse </w:t>
            </w:r>
          </w:p>
          <w:p w:rsidR="00590DFF" w:rsidRPr="002C7C70" w:rsidRDefault="00590DFF" w:rsidP="00EF73A6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590DFF" w:rsidRPr="002C7C70" w:rsidTr="00D64DA9">
        <w:tc>
          <w:tcPr>
            <w:tcW w:w="1351" w:type="dxa"/>
          </w:tcPr>
          <w:p w:rsidR="00590DFF" w:rsidRPr="002C7C70" w:rsidRDefault="00590DFF" w:rsidP="00EF73A6">
            <w:pPr>
              <w:pStyle w:val="WBVTTabellentext"/>
              <w:spacing w:before="60" w:after="60"/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Style w:val="WBVZfett"/>
                <w:rFonts w:cs="Times New Roman"/>
                <w:color w:val="000000" w:themeColor="text1"/>
                <w:sz w:val="20"/>
                <w:szCs w:val="20"/>
              </w:rPr>
              <w:t>Vertiefen</w:t>
            </w:r>
          </w:p>
        </w:tc>
        <w:tc>
          <w:tcPr>
            <w:tcW w:w="5307" w:type="dxa"/>
          </w:tcPr>
          <w:p w:rsidR="00590DFF" w:rsidRPr="002C7C70" w:rsidRDefault="00590DFF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color w:val="000000" w:themeColor="text1"/>
                <w:sz w:val="20"/>
                <w:szCs w:val="20"/>
              </w:rPr>
              <w:t xml:space="preserve">Fachbegriffe/-inhalte </w:t>
            </w:r>
            <w:r w:rsidR="005719E4" w:rsidRPr="002C7C70">
              <w:rPr>
                <w:rFonts w:cs="Times New Roman"/>
                <w:color w:val="000000" w:themeColor="text1"/>
                <w:sz w:val="20"/>
                <w:szCs w:val="20"/>
              </w:rPr>
              <w:t>anhand der Fallmethode bearbeiten</w:t>
            </w:r>
          </w:p>
        </w:tc>
        <w:tc>
          <w:tcPr>
            <w:tcW w:w="2976" w:type="dxa"/>
          </w:tcPr>
          <w:p w:rsidR="00590DFF" w:rsidRPr="002C7C70" w:rsidRDefault="00BC2914" w:rsidP="00EF73A6">
            <w:pPr>
              <w:pStyle w:val="WBVGListePfeilGrn"/>
              <w:spacing w:before="60" w:after="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C7C70">
              <w:rPr>
                <w:rFonts w:cs="Times New Roman"/>
                <w:bCs/>
                <w:color w:val="000000" w:themeColor="text1"/>
                <w:sz w:val="20"/>
                <w:szCs w:val="20"/>
              </w:rPr>
              <w:t>Fälle</w:t>
            </w:r>
          </w:p>
        </w:tc>
      </w:tr>
    </w:tbl>
    <w:p w:rsidR="00774272" w:rsidRPr="002C7C70" w:rsidRDefault="00774272" w:rsidP="00B233BA">
      <w:pPr>
        <w:ind w:left="709" w:hanging="709"/>
        <w:rPr>
          <w:rFonts w:asciiTheme="minorHAnsi" w:hAnsiTheme="minorHAnsi"/>
          <w:color w:val="000000" w:themeColor="text1"/>
          <w:sz w:val="22"/>
          <w:szCs w:val="22"/>
        </w:rPr>
      </w:pPr>
    </w:p>
    <w:p w:rsidR="00B233BA" w:rsidRPr="002C7C70" w:rsidRDefault="00B233BA" w:rsidP="00B233BA">
      <w:pPr>
        <w:ind w:left="709" w:hanging="709"/>
        <w:rPr>
          <w:rFonts w:asciiTheme="minorHAnsi" w:hAnsiTheme="minorHAnsi"/>
          <w:color w:val="000000" w:themeColor="text1"/>
          <w:sz w:val="22"/>
          <w:szCs w:val="22"/>
        </w:rPr>
      </w:pPr>
    </w:p>
    <w:p w:rsidR="00B233BA" w:rsidRPr="002C7C70" w:rsidRDefault="00B233BA" w:rsidP="00B233BA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2C7C70">
        <w:rPr>
          <w:rFonts w:asciiTheme="minorHAnsi" w:hAnsiTheme="minorHAnsi" w:cstheme="minorHAnsi"/>
        </w:rPr>
        <w:t>Autorenteam:</w:t>
      </w:r>
      <w:r w:rsidRPr="002C7C70">
        <w:rPr>
          <w:rFonts w:asciiTheme="minorHAnsi" w:hAnsiTheme="minorHAnsi" w:cstheme="minorHAnsi"/>
        </w:rPr>
        <w:tab/>
      </w:r>
      <w:r w:rsidRPr="002C7C70">
        <w:rPr>
          <w:rFonts w:asciiTheme="minorHAnsi" w:hAnsiTheme="minorHAnsi" w:cs="TimesNewRomanPS-BoldMT"/>
          <w:bCs/>
          <w:color w:val="000000" w:themeColor="text1"/>
        </w:rPr>
        <w:t>Rebecca Friesecke, Kaufmännisches Berufskolleg Duisburg-Mitte</w:t>
      </w:r>
    </w:p>
    <w:p w:rsidR="00B233BA" w:rsidRPr="002C7C70" w:rsidRDefault="00B233BA" w:rsidP="00B233BA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2C7C70">
        <w:rPr>
          <w:rFonts w:asciiTheme="minorHAnsi" w:hAnsiTheme="minorHAnsi" w:cs="TimesNewRomanPS-BoldMT"/>
          <w:bCs/>
          <w:color w:val="000000" w:themeColor="text1"/>
        </w:rPr>
        <w:tab/>
        <w:t xml:space="preserve">Frank Kraehmer, </w:t>
      </w:r>
      <w:r w:rsidR="00A12122" w:rsidRPr="002C7C70">
        <w:rPr>
          <w:rFonts w:asciiTheme="minorHAnsi" w:hAnsiTheme="minorHAnsi" w:cs="TimesNewRomanPS-BoldMT"/>
          <w:bCs/>
          <w:color w:val="000000" w:themeColor="text1"/>
        </w:rPr>
        <w:t>Berufskolleg Herzogenrath</w:t>
      </w:r>
    </w:p>
    <w:p w:rsidR="00B233BA" w:rsidRPr="002C7C70" w:rsidRDefault="00B233BA" w:rsidP="00B233BA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2C7C70">
        <w:rPr>
          <w:rFonts w:asciiTheme="minorHAnsi" w:hAnsiTheme="minorHAnsi" w:cs="TimesNewRomanPS-BoldMT"/>
          <w:bCs/>
          <w:color w:val="000000" w:themeColor="text1"/>
        </w:rPr>
        <w:tab/>
        <w:t xml:space="preserve">Christian Lehmacher, Reinhard-Mohn-Berufskolleg </w:t>
      </w:r>
      <w:r w:rsidR="00A12122" w:rsidRPr="002C7C70">
        <w:rPr>
          <w:rFonts w:asciiTheme="minorHAnsi" w:hAnsiTheme="minorHAnsi" w:cs="TimesNewRomanPS-BoldMT"/>
          <w:bCs/>
          <w:color w:val="000000" w:themeColor="text1"/>
        </w:rPr>
        <w:t>des Kreises Gütersloh</w:t>
      </w:r>
      <w:r w:rsidRPr="002C7C70">
        <w:rPr>
          <w:rFonts w:asciiTheme="minorHAnsi" w:hAnsiTheme="minorHAnsi" w:cs="TimesNewRomanPS-BoldMT"/>
          <w:bCs/>
          <w:color w:val="000000" w:themeColor="text1"/>
        </w:rPr>
        <w:t xml:space="preserve"> </w:t>
      </w:r>
    </w:p>
    <w:p w:rsidR="00B233BA" w:rsidRPr="002C7C70" w:rsidRDefault="00B233BA" w:rsidP="00B233BA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2C7C70">
        <w:rPr>
          <w:rFonts w:asciiTheme="minorHAnsi" w:hAnsiTheme="minorHAnsi" w:cs="TimesNewRomanPS-BoldMT"/>
          <w:bCs/>
          <w:color w:val="000000" w:themeColor="text1"/>
        </w:rPr>
        <w:tab/>
        <w:t>Benjamin Dux,</w:t>
      </w:r>
      <w:r w:rsidR="00A12122" w:rsidRPr="002C7C70">
        <w:rPr>
          <w:rFonts w:asciiTheme="minorHAnsi" w:hAnsiTheme="minorHAnsi" w:cs="TimesNewRomanPS-BoldMT"/>
          <w:bCs/>
          <w:color w:val="000000" w:themeColor="text1"/>
        </w:rPr>
        <w:t xml:space="preserve"> Karl-Schiller-Berufskolleg Dortmund</w:t>
      </w:r>
    </w:p>
    <w:p w:rsidR="008F2E54" w:rsidRPr="002C7C70" w:rsidRDefault="008F2E54" w:rsidP="00B233BA">
      <w:pPr>
        <w:ind w:left="709" w:hanging="709"/>
        <w:rPr>
          <w:rFonts w:asciiTheme="minorHAnsi" w:hAnsiTheme="minorHAnsi"/>
          <w:color w:val="000000" w:themeColor="text1"/>
          <w:sz w:val="22"/>
          <w:szCs w:val="22"/>
        </w:rPr>
      </w:pPr>
    </w:p>
    <w:p w:rsidR="008F2E54" w:rsidRPr="002C7C70" w:rsidRDefault="008F2E54" w:rsidP="008F2E54">
      <w:pPr>
        <w:rPr>
          <w:rFonts w:asciiTheme="minorHAnsi" w:hAnsiTheme="minorHAnsi"/>
          <w:sz w:val="22"/>
          <w:szCs w:val="22"/>
        </w:rPr>
      </w:pPr>
    </w:p>
    <w:p w:rsidR="002F420F" w:rsidRPr="002C7C70" w:rsidRDefault="002F420F" w:rsidP="002F420F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</w:p>
    <w:sectPr w:rsidR="002F420F" w:rsidRPr="002C7C70" w:rsidSect="00EF7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42" w:rsidRDefault="00F65F42" w:rsidP="0058426E">
      <w:r>
        <w:separator/>
      </w:r>
    </w:p>
  </w:endnote>
  <w:endnote w:type="continuationSeparator" w:id="0">
    <w:p w:rsidR="00F65F42" w:rsidRDefault="00F65F42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C2" w:rsidRDefault="006545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8891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EF73A6" w:rsidRPr="00B233BA" w:rsidRDefault="00B233BA" w:rsidP="00B233BA">
        <w:pPr>
          <w:pStyle w:val="Fuzeile"/>
          <w:jc w:val="right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 xml:space="preserve">Stand: </w:t>
        </w:r>
        <w:r w:rsidR="006545C2">
          <w:rPr>
            <w:rFonts w:asciiTheme="minorHAnsi" w:hAnsiTheme="minorHAnsi"/>
          </w:rPr>
          <w:t>01</w:t>
        </w:r>
        <w:r>
          <w:rPr>
            <w:rFonts w:asciiTheme="minorHAnsi" w:hAnsiTheme="minorHAnsi"/>
          </w:rPr>
          <w:t>.</w:t>
        </w:r>
        <w:r w:rsidR="006545C2">
          <w:rPr>
            <w:rFonts w:asciiTheme="minorHAnsi" w:hAnsiTheme="minorHAnsi"/>
          </w:rPr>
          <w:t>11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="00ED3725" w:rsidRPr="00647595">
          <w:rPr>
            <w:rFonts w:asciiTheme="minorHAnsi" w:hAnsiTheme="minorHAnsi"/>
          </w:rPr>
          <w:fldChar w:fldCharType="begin"/>
        </w:r>
        <w:r w:rsidRPr="00647595">
          <w:rPr>
            <w:rFonts w:asciiTheme="minorHAnsi" w:hAnsiTheme="minorHAnsi"/>
          </w:rPr>
          <w:instrText>PAGE   \* MERGEFORMAT</w:instrText>
        </w:r>
        <w:r w:rsidR="00ED3725" w:rsidRPr="00647595">
          <w:rPr>
            <w:rFonts w:asciiTheme="minorHAnsi" w:hAnsiTheme="minorHAnsi"/>
          </w:rPr>
          <w:fldChar w:fldCharType="separate"/>
        </w:r>
        <w:r w:rsidR="00F52FCA">
          <w:rPr>
            <w:rFonts w:asciiTheme="minorHAnsi" w:hAnsiTheme="minorHAnsi"/>
            <w:noProof/>
          </w:rPr>
          <w:t>2</w:t>
        </w:r>
        <w:r w:rsidR="00ED3725" w:rsidRPr="00647595">
          <w:rPr>
            <w:rFonts w:asciiTheme="minorHAnsi" w:hAnsi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C2" w:rsidRDefault="006545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42" w:rsidRDefault="00F65F42" w:rsidP="0058426E">
      <w:r>
        <w:separator/>
      </w:r>
    </w:p>
  </w:footnote>
  <w:footnote w:type="continuationSeparator" w:id="0">
    <w:p w:rsidR="00F65F42" w:rsidRDefault="00F65F42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C2" w:rsidRDefault="006545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BA" w:rsidRPr="00731100" w:rsidRDefault="00B233BA" w:rsidP="00B233BA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3</w:t>
    </w:r>
    <w:r w:rsidRPr="00731100">
      <w:rPr>
        <w:rFonts w:asciiTheme="minorHAnsi" w:hAnsiTheme="minorHAnsi"/>
      </w:rPr>
      <w:t xml:space="preserve">: Didaktisch-methodische Hinweise 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Landesweite Arbeitsgruppe</w:t>
    </w:r>
  </w:p>
  <w:p w:rsidR="00B233BA" w:rsidRPr="00731100" w:rsidRDefault="00B233BA" w:rsidP="00B233BA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3.1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:rsidR="00EF73A6" w:rsidRPr="00B233BA" w:rsidRDefault="00EF73A6" w:rsidP="00B42F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C2" w:rsidRDefault="006545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A64"/>
    <w:multiLevelType w:val="hybridMultilevel"/>
    <w:tmpl w:val="22D4681A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FC4046"/>
    <w:multiLevelType w:val="hybridMultilevel"/>
    <w:tmpl w:val="DA941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>
    <w:nsid w:val="556A0203"/>
    <w:multiLevelType w:val="hybridMultilevel"/>
    <w:tmpl w:val="C54A4A4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C73A74"/>
    <w:multiLevelType w:val="hybridMultilevel"/>
    <w:tmpl w:val="C764CA1A"/>
    <w:lvl w:ilvl="0" w:tplc="CEBA42A2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E7B4F"/>
    <w:multiLevelType w:val="hybridMultilevel"/>
    <w:tmpl w:val="969EBC14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9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34B"/>
    <w:rsid w:val="000305C6"/>
    <w:rsid w:val="0003357B"/>
    <w:rsid w:val="00037BB0"/>
    <w:rsid w:val="00043CAE"/>
    <w:rsid w:val="00051D1E"/>
    <w:rsid w:val="00053835"/>
    <w:rsid w:val="000544AF"/>
    <w:rsid w:val="00066AD1"/>
    <w:rsid w:val="000721CC"/>
    <w:rsid w:val="0007291D"/>
    <w:rsid w:val="00074720"/>
    <w:rsid w:val="00085F7B"/>
    <w:rsid w:val="00087AA6"/>
    <w:rsid w:val="000A6A40"/>
    <w:rsid w:val="000C45A3"/>
    <w:rsid w:val="000D05B9"/>
    <w:rsid w:val="000F30A6"/>
    <w:rsid w:val="00120B56"/>
    <w:rsid w:val="00125A5B"/>
    <w:rsid w:val="00126561"/>
    <w:rsid w:val="00130FE0"/>
    <w:rsid w:val="00141A3E"/>
    <w:rsid w:val="00146619"/>
    <w:rsid w:val="00146D9C"/>
    <w:rsid w:val="0015164A"/>
    <w:rsid w:val="00173E18"/>
    <w:rsid w:val="00175190"/>
    <w:rsid w:val="001853B9"/>
    <w:rsid w:val="00186B00"/>
    <w:rsid w:val="00190FDA"/>
    <w:rsid w:val="00196F91"/>
    <w:rsid w:val="001A647C"/>
    <w:rsid w:val="001A74A4"/>
    <w:rsid w:val="001C1A5B"/>
    <w:rsid w:val="001C3397"/>
    <w:rsid w:val="001D753B"/>
    <w:rsid w:val="001E6209"/>
    <w:rsid w:val="001F0B98"/>
    <w:rsid w:val="0020649F"/>
    <w:rsid w:val="002179D1"/>
    <w:rsid w:val="00223269"/>
    <w:rsid w:val="00226675"/>
    <w:rsid w:val="002330E1"/>
    <w:rsid w:val="002447DE"/>
    <w:rsid w:val="002560AA"/>
    <w:rsid w:val="0026593C"/>
    <w:rsid w:val="0028205F"/>
    <w:rsid w:val="00297F15"/>
    <w:rsid w:val="002A3D54"/>
    <w:rsid w:val="002C5269"/>
    <w:rsid w:val="002C7C70"/>
    <w:rsid w:val="002D2BCE"/>
    <w:rsid w:val="002D361A"/>
    <w:rsid w:val="002D3E45"/>
    <w:rsid w:val="002F420F"/>
    <w:rsid w:val="00311770"/>
    <w:rsid w:val="00326A54"/>
    <w:rsid w:val="0033091C"/>
    <w:rsid w:val="00331786"/>
    <w:rsid w:val="00332CB3"/>
    <w:rsid w:val="00350517"/>
    <w:rsid w:val="003600E3"/>
    <w:rsid w:val="00364CAC"/>
    <w:rsid w:val="00365771"/>
    <w:rsid w:val="003926C3"/>
    <w:rsid w:val="003B3512"/>
    <w:rsid w:val="003D169B"/>
    <w:rsid w:val="003D6D18"/>
    <w:rsid w:val="003D73D8"/>
    <w:rsid w:val="003F7BA1"/>
    <w:rsid w:val="00407C0B"/>
    <w:rsid w:val="004253CC"/>
    <w:rsid w:val="0044263F"/>
    <w:rsid w:val="00462534"/>
    <w:rsid w:val="00467985"/>
    <w:rsid w:val="00482EA0"/>
    <w:rsid w:val="0048696A"/>
    <w:rsid w:val="004B6351"/>
    <w:rsid w:val="004B7C45"/>
    <w:rsid w:val="004C243A"/>
    <w:rsid w:val="004C3149"/>
    <w:rsid w:val="004D087B"/>
    <w:rsid w:val="004D2DE0"/>
    <w:rsid w:val="004D71A8"/>
    <w:rsid w:val="004F4B89"/>
    <w:rsid w:val="00502279"/>
    <w:rsid w:val="00513232"/>
    <w:rsid w:val="0052582B"/>
    <w:rsid w:val="00525AC5"/>
    <w:rsid w:val="00553DF3"/>
    <w:rsid w:val="00560E5D"/>
    <w:rsid w:val="005621B5"/>
    <w:rsid w:val="00567B3B"/>
    <w:rsid w:val="00571166"/>
    <w:rsid w:val="005719E4"/>
    <w:rsid w:val="00572DBC"/>
    <w:rsid w:val="00583E7C"/>
    <w:rsid w:val="0058426E"/>
    <w:rsid w:val="00590875"/>
    <w:rsid w:val="00590DFF"/>
    <w:rsid w:val="00592DE3"/>
    <w:rsid w:val="005954BD"/>
    <w:rsid w:val="005A2CF9"/>
    <w:rsid w:val="005A303E"/>
    <w:rsid w:val="005A7EDB"/>
    <w:rsid w:val="005B54E7"/>
    <w:rsid w:val="005B7DF7"/>
    <w:rsid w:val="005D2187"/>
    <w:rsid w:val="005D78A2"/>
    <w:rsid w:val="005E1534"/>
    <w:rsid w:val="00601437"/>
    <w:rsid w:val="0060243E"/>
    <w:rsid w:val="00610CF1"/>
    <w:rsid w:val="00622EC8"/>
    <w:rsid w:val="006342AF"/>
    <w:rsid w:val="0064123C"/>
    <w:rsid w:val="00644467"/>
    <w:rsid w:val="006545C2"/>
    <w:rsid w:val="006772A1"/>
    <w:rsid w:val="00684CED"/>
    <w:rsid w:val="006A284C"/>
    <w:rsid w:val="006B0956"/>
    <w:rsid w:val="006B2783"/>
    <w:rsid w:val="006B3211"/>
    <w:rsid w:val="006B5962"/>
    <w:rsid w:val="006B794B"/>
    <w:rsid w:val="006D5D7A"/>
    <w:rsid w:val="006D606E"/>
    <w:rsid w:val="006E4E9A"/>
    <w:rsid w:val="00707BC3"/>
    <w:rsid w:val="00743521"/>
    <w:rsid w:val="007618C5"/>
    <w:rsid w:val="00764EBE"/>
    <w:rsid w:val="00774272"/>
    <w:rsid w:val="00777286"/>
    <w:rsid w:val="0079381D"/>
    <w:rsid w:val="007A3690"/>
    <w:rsid w:val="007B08A5"/>
    <w:rsid w:val="007B26C9"/>
    <w:rsid w:val="007B43DE"/>
    <w:rsid w:val="007B667E"/>
    <w:rsid w:val="007D43A3"/>
    <w:rsid w:val="007E1F71"/>
    <w:rsid w:val="007E33ED"/>
    <w:rsid w:val="007E4E94"/>
    <w:rsid w:val="007F751A"/>
    <w:rsid w:val="0080753C"/>
    <w:rsid w:val="0081667F"/>
    <w:rsid w:val="00826224"/>
    <w:rsid w:val="00837EC8"/>
    <w:rsid w:val="008440DD"/>
    <w:rsid w:val="00844D17"/>
    <w:rsid w:val="00851BFD"/>
    <w:rsid w:val="008768E9"/>
    <w:rsid w:val="00877CFC"/>
    <w:rsid w:val="0088108F"/>
    <w:rsid w:val="00887F45"/>
    <w:rsid w:val="008949D5"/>
    <w:rsid w:val="00896BD2"/>
    <w:rsid w:val="008979E4"/>
    <w:rsid w:val="008A286D"/>
    <w:rsid w:val="008A661C"/>
    <w:rsid w:val="008A764C"/>
    <w:rsid w:val="008B0C55"/>
    <w:rsid w:val="008B462B"/>
    <w:rsid w:val="008D2F58"/>
    <w:rsid w:val="008E0191"/>
    <w:rsid w:val="008E22DA"/>
    <w:rsid w:val="008F0F06"/>
    <w:rsid w:val="008F2E54"/>
    <w:rsid w:val="008F5B59"/>
    <w:rsid w:val="008F6A22"/>
    <w:rsid w:val="00900112"/>
    <w:rsid w:val="0090386B"/>
    <w:rsid w:val="00905674"/>
    <w:rsid w:val="00910A2D"/>
    <w:rsid w:val="0091598F"/>
    <w:rsid w:val="0091600A"/>
    <w:rsid w:val="0091798D"/>
    <w:rsid w:val="00934B31"/>
    <w:rsid w:val="0095076D"/>
    <w:rsid w:val="00950BCF"/>
    <w:rsid w:val="00953008"/>
    <w:rsid w:val="00956FEF"/>
    <w:rsid w:val="009740BB"/>
    <w:rsid w:val="0098344F"/>
    <w:rsid w:val="00984A8D"/>
    <w:rsid w:val="0098712D"/>
    <w:rsid w:val="009B1C03"/>
    <w:rsid w:val="009B2A99"/>
    <w:rsid w:val="009D1E73"/>
    <w:rsid w:val="009D61D9"/>
    <w:rsid w:val="009E245A"/>
    <w:rsid w:val="009E2691"/>
    <w:rsid w:val="009E534B"/>
    <w:rsid w:val="009E6382"/>
    <w:rsid w:val="009E711D"/>
    <w:rsid w:val="009E7598"/>
    <w:rsid w:val="009F4616"/>
    <w:rsid w:val="00A01E9F"/>
    <w:rsid w:val="00A11F60"/>
    <w:rsid w:val="00A12122"/>
    <w:rsid w:val="00A1600B"/>
    <w:rsid w:val="00A165C6"/>
    <w:rsid w:val="00A208DB"/>
    <w:rsid w:val="00A22DFC"/>
    <w:rsid w:val="00A237B8"/>
    <w:rsid w:val="00A300CB"/>
    <w:rsid w:val="00A35448"/>
    <w:rsid w:val="00A450CC"/>
    <w:rsid w:val="00A475AF"/>
    <w:rsid w:val="00A90D03"/>
    <w:rsid w:val="00A95E53"/>
    <w:rsid w:val="00AA0C6A"/>
    <w:rsid w:val="00AA1EF1"/>
    <w:rsid w:val="00AB5E3F"/>
    <w:rsid w:val="00AC41FD"/>
    <w:rsid w:val="00AC4D5C"/>
    <w:rsid w:val="00AE4D20"/>
    <w:rsid w:val="00AF4299"/>
    <w:rsid w:val="00B00805"/>
    <w:rsid w:val="00B02820"/>
    <w:rsid w:val="00B11C01"/>
    <w:rsid w:val="00B11CD1"/>
    <w:rsid w:val="00B13349"/>
    <w:rsid w:val="00B17D6C"/>
    <w:rsid w:val="00B233BA"/>
    <w:rsid w:val="00B302F8"/>
    <w:rsid w:val="00B42FA2"/>
    <w:rsid w:val="00B44EE1"/>
    <w:rsid w:val="00B65D99"/>
    <w:rsid w:val="00B67348"/>
    <w:rsid w:val="00B96BCA"/>
    <w:rsid w:val="00BA2307"/>
    <w:rsid w:val="00BA27C7"/>
    <w:rsid w:val="00BA60BF"/>
    <w:rsid w:val="00BB090E"/>
    <w:rsid w:val="00BC2914"/>
    <w:rsid w:val="00BD54A9"/>
    <w:rsid w:val="00BD7381"/>
    <w:rsid w:val="00BF0BF5"/>
    <w:rsid w:val="00BF1155"/>
    <w:rsid w:val="00BF21B4"/>
    <w:rsid w:val="00C077D2"/>
    <w:rsid w:val="00C222AD"/>
    <w:rsid w:val="00C304C6"/>
    <w:rsid w:val="00C65D9D"/>
    <w:rsid w:val="00C733B9"/>
    <w:rsid w:val="00C76B66"/>
    <w:rsid w:val="00C83B62"/>
    <w:rsid w:val="00C92638"/>
    <w:rsid w:val="00C97EBE"/>
    <w:rsid w:val="00CB06C9"/>
    <w:rsid w:val="00CB2D02"/>
    <w:rsid w:val="00CB46A9"/>
    <w:rsid w:val="00CB50AB"/>
    <w:rsid w:val="00CF205E"/>
    <w:rsid w:val="00CF4314"/>
    <w:rsid w:val="00D0008A"/>
    <w:rsid w:val="00D13619"/>
    <w:rsid w:val="00D20790"/>
    <w:rsid w:val="00D2092C"/>
    <w:rsid w:val="00D26FBE"/>
    <w:rsid w:val="00D3532C"/>
    <w:rsid w:val="00D354FB"/>
    <w:rsid w:val="00D43C6E"/>
    <w:rsid w:val="00D52B30"/>
    <w:rsid w:val="00D64DA9"/>
    <w:rsid w:val="00D74FFB"/>
    <w:rsid w:val="00D9096E"/>
    <w:rsid w:val="00DE6B2D"/>
    <w:rsid w:val="00E0575D"/>
    <w:rsid w:val="00E21D7E"/>
    <w:rsid w:val="00E4031F"/>
    <w:rsid w:val="00E41C8D"/>
    <w:rsid w:val="00E51C71"/>
    <w:rsid w:val="00E627C8"/>
    <w:rsid w:val="00E70981"/>
    <w:rsid w:val="00E756BF"/>
    <w:rsid w:val="00E7649C"/>
    <w:rsid w:val="00E97F52"/>
    <w:rsid w:val="00EA145F"/>
    <w:rsid w:val="00EA1A7D"/>
    <w:rsid w:val="00EA3F0C"/>
    <w:rsid w:val="00EA4A12"/>
    <w:rsid w:val="00EA52EA"/>
    <w:rsid w:val="00EB4F73"/>
    <w:rsid w:val="00EB58C8"/>
    <w:rsid w:val="00EC0BAD"/>
    <w:rsid w:val="00EC1756"/>
    <w:rsid w:val="00EC1D89"/>
    <w:rsid w:val="00ED3725"/>
    <w:rsid w:val="00EF413C"/>
    <w:rsid w:val="00EF73A6"/>
    <w:rsid w:val="00F15FB0"/>
    <w:rsid w:val="00F1791A"/>
    <w:rsid w:val="00F17BE8"/>
    <w:rsid w:val="00F27418"/>
    <w:rsid w:val="00F42B6E"/>
    <w:rsid w:val="00F440CB"/>
    <w:rsid w:val="00F52FCA"/>
    <w:rsid w:val="00F61AA1"/>
    <w:rsid w:val="00F65F42"/>
    <w:rsid w:val="00F80C38"/>
    <w:rsid w:val="00F843CF"/>
    <w:rsid w:val="00F9229F"/>
    <w:rsid w:val="00F9773B"/>
    <w:rsid w:val="00FA655B"/>
    <w:rsid w:val="00FB790F"/>
    <w:rsid w:val="00FC2360"/>
    <w:rsid w:val="00FC345C"/>
    <w:rsid w:val="00FC3EC1"/>
    <w:rsid w:val="00FD0DA5"/>
    <w:rsid w:val="00FE223D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styleId="BesuchterHyperlink">
    <w:name w:val="FollowedHyperlink"/>
    <w:basedOn w:val="Absatz-Standardschriftart"/>
    <w:semiHidden/>
    <w:unhideWhenUsed/>
    <w:rsid w:val="007742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84C3-AB1E-41FD-BE7F-3A17710C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B088E9C9.dotm</Template>
  <TotalTime>0</TotalTime>
  <Pages>4</Pages>
  <Words>989</Words>
  <Characters>7715</Characters>
  <Application>Microsoft Office Word</Application>
  <DocSecurity>0</DocSecurity>
  <Lines>191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>Gethmann</dc:creator>
  <cp:keywords/>
  <dc:description/>
  <cp:lastModifiedBy>Georg Salomon</cp:lastModifiedBy>
  <cp:revision>4</cp:revision>
  <cp:lastPrinted>2018-09-30T16:46:00Z</cp:lastPrinted>
  <dcterms:created xsi:type="dcterms:W3CDTF">2018-11-01T16:52:00Z</dcterms:created>
  <dcterms:modified xsi:type="dcterms:W3CDTF">2018-11-07T07:41:00Z</dcterms:modified>
</cp:coreProperties>
</file>