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98"/>
        <w:gridCol w:w="7273"/>
      </w:tblGrid>
      <w:tr w:rsidR="00E8471E" w:rsidTr="00E8471E">
        <w:trPr>
          <w:jc w:val="center"/>
        </w:trPr>
        <w:tc>
          <w:tcPr>
            <w:tcW w:w="14571" w:type="dxa"/>
            <w:gridSpan w:val="2"/>
            <w:shd w:val="clear" w:color="auto" w:fill="auto"/>
          </w:tcPr>
          <w:p w:rsidR="00E8471E" w:rsidRDefault="00E8471E" w:rsidP="00506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 Ausbildungsjahr</w:t>
            </w:r>
          </w:p>
          <w:p w:rsidR="00E8471E" w:rsidRDefault="00E8471E" w:rsidP="00506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98"/>
              </w:tabs>
              <w:spacing w:before="60" w:after="60"/>
              <w:rPr>
                <w:color w:val="000000"/>
              </w:rPr>
            </w:pPr>
            <w:r>
              <w:rPr>
                <w:b/>
                <w:color w:val="000000"/>
              </w:rPr>
              <w:t>Bündelungsfach:</w:t>
            </w:r>
            <w:r>
              <w:rPr>
                <w:color w:val="000000"/>
              </w:rPr>
              <w:tab/>
              <w:t>Geschäftsprozesse im Groß- und Außenhandelsmanagement</w:t>
            </w:r>
          </w:p>
          <w:p w:rsidR="00E8471E" w:rsidRDefault="00E8471E" w:rsidP="00506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98"/>
                <w:tab w:val="left" w:pos="3232"/>
              </w:tabs>
              <w:spacing w:before="60" w:after="60"/>
              <w:rPr>
                <w:color w:val="000000"/>
              </w:rPr>
            </w:pPr>
            <w:r>
              <w:rPr>
                <w:b/>
                <w:color w:val="000000"/>
              </w:rPr>
              <w:t>Lernfeld 2</w:t>
            </w:r>
            <w:r>
              <w:rPr>
                <w:color w:val="000000"/>
              </w:rPr>
              <w:t>:</w:t>
            </w:r>
            <w:r>
              <w:rPr>
                <w:color w:val="000000"/>
              </w:rPr>
              <w:tab/>
              <w:t>Aufträge kundeno</w:t>
            </w:r>
            <w:r>
              <w:rPr>
                <w:color w:val="000000"/>
              </w:rPr>
              <w:t>rientiert bearbeiten (80 UStd.)</w:t>
            </w:r>
          </w:p>
          <w:p w:rsidR="00E8471E" w:rsidRDefault="00E8471E" w:rsidP="00506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98"/>
                <w:tab w:val="left" w:pos="3232"/>
              </w:tabs>
              <w:spacing w:before="60" w:after="6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Lernsituation </w:t>
            </w:r>
            <w:r>
              <w:rPr>
                <w:b/>
                <w:color w:val="000000"/>
              </w:rPr>
              <w:t>2.3:</w:t>
            </w:r>
            <w:r>
              <w:rPr>
                <w:color w:val="000000"/>
              </w:rPr>
              <w:tab/>
              <w:t>Beratungs- und Verkaufsgespräche führen (12 UStd.)</w:t>
            </w:r>
          </w:p>
        </w:tc>
      </w:tr>
      <w:tr w:rsidR="00E8471E" w:rsidTr="00E8471E">
        <w:trPr>
          <w:trHeight w:val="1814"/>
          <w:jc w:val="center"/>
        </w:trPr>
        <w:tc>
          <w:tcPr>
            <w:tcW w:w="7298" w:type="dxa"/>
            <w:shd w:val="clear" w:color="auto" w:fill="auto"/>
          </w:tcPr>
          <w:p w:rsidR="00E8471E" w:rsidRDefault="00E8471E" w:rsidP="00E8471E">
            <w:pPr>
              <w:pStyle w:val="Tabellenberschrift"/>
            </w:pPr>
            <w:r>
              <w:t xml:space="preserve">Einstiegsszenario </w:t>
            </w:r>
          </w:p>
          <w:p w:rsidR="00E8471E" w:rsidRDefault="00E8471E" w:rsidP="00E8471E">
            <w:pPr>
              <w:pStyle w:val="Tabellentext"/>
            </w:pPr>
            <w:r>
              <w:t>Bei der Auswertung des letzten Geschäftsjahres stellt die Geschäftsleitung einen spürbaren Umsatzrückgang im stationären Handel, insbesondere bei den Großkunden, fest.</w:t>
            </w:r>
          </w:p>
          <w:p w:rsidR="00E8471E" w:rsidRPr="00E8471E" w:rsidRDefault="00E8471E" w:rsidP="00E8471E">
            <w:pPr>
              <w:pStyle w:val="Tabellentext"/>
            </w:pPr>
            <w:r>
              <w:t xml:space="preserve">Die Geschäftsleitung fordert von der Verkaufsabteilung, die Qualität der Beratungs- und Verkaufsgespräche vor allem mit den Großkunden so zu verbessern, dass die Kundenbindung wieder verstärkt und damit der Umsatz pro </w:t>
            </w:r>
            <w:r>
              <w:t xml:space="preserve">Kundin und </w:t>
            </w:r>
            <w:r>
              <w:t xml:space="preserve">Kunde erhöht wird. </w:t>
            </w:r>
          </w:p>
        </w:tc>
        <w:tc>
          <w:tcPr>
            <w:tcW w:w="7273" w:type="dxa"/>
            <w:shd w:val="clear" w:color="auto" w:fill="auto"/>
          </w:tcPr>
          <w:p w:rsidR="00E8471E" w:rsidRDefault="00E8471E" w:rsidP="00E8471E">
            <w:pPr>
              <w:pStyle w:val="Tabellenberschrift"/>
            </w:pPr>
            <w:r>
              <w:t>Handlungsprodukt/Lernergebnis</w:t>
            </w:r>
          </w:p>
          <w:p w:rsidR="00E8471E" w:rsidRDefault="00E8471E" w:rsidP="00E8471E">
            <w:pPr>
              <w:pStyle w:val="Tabellenspiegelstrich"/>
            </w:pPr>
            <w:r>
              <w:t>Übersicht über die Analyseergebnisse</w:t>
            </w:r>
          </w:p>
          <w:p w:rsidR="00E8471E" w:rsidRDefault="00E8471E" w:rsidP="00E8471E">
            <w:pPr>
              <w:pStyle w:val="Tabellenspiegelstrich"/>
            </w:pPr>
            <w:r>
              <w:t xml:space="preserve">Padlet mit wichtigen Informationen zur Führung eines situationsgerechten Beratungs-und Verkaufsgespräches </w:t>
            </w:r>
          </w:p>
          <w:p w:rsidR="00E8471E" w:rsidRDefault="00E8471E" w:rsidP="00E8471E">
            <w:pPr>
              <w:pStyle w:val="Tabellenspiegelstrich"/>
            </w:pPr>
            <w:r>
              <w:t>Film eines Beratungs-/Verkaufsgesprächs</w:t>
            </w:r>
          </w:p>
          <w:p w:rsidR="00E8471E" w:rsidRDefault="00E8471E" w:rsidP="00E8471E">
            <w:pPr>
              <w:pStyle w:val="Tabellenberschrift"/>
              <w:spacing w:before="120"/>
            </w:pPr>
            <w:r>
              <w:t>Hinweis zur Lernerfolgsüberprüfung und Leistungsbewertung</w:t>
            </w:r>
          </w:p>
          <w:p w:rsidR="00E8471E" w:rsidRDefault="00E8471E" w:rsidP="00E8471E">
            <w:pPr>
              <w:pStyle w:val="Tabellenspiegelstrich"/>
            </w:pPr>
            <w:r>
              <w:t>Bewertung des Padlets</w:t>
            </w:r>
          </w:p>
          <w:p w:rsidR="00E8471E" w:rsidRPr="00E8471E" w:rsidRDefault="00E8471E" w:rsidP="00E8471E">
            <w:pPr>
              <w:pStyle w:val="Tabellenspiegelstrich"/>
            </w:pPr>
            <w:r>
              <w:t xml:space="preserve">im Anschluss an die Einheit z. B. Übungen aus dem eingeführten Lehrbuch zu verschiedenen Beratungs- und Verkaufssituationen, Erstellung eines </w:t>
            </w:r>
            <w:r>
              <w:rPr>
                <w:color w:val="0070C0"/>
              </w:rPr>
              <w:t>Kahoot-Quiz</w:t>
            </w:r>
            <w:r>
              <w:rPr>
                <w:color w:val="0070C0"/>
              </w:rPr>
              <w:t>‘</w:t>
            </w:r>
            <w:r>
              <w:t>, Vorbereitung und Durchführung von Gesprächen</w:t>
            </w:r>
          </w:p>
        </w:tc>
      </w:tr>
      <w:tr w:rsidR="00E8471E" w:rsidTr="00E8471E">
        <w:trPr>
          <w:trHeight w:val="1814"/>
          <w:jc w:val="center"/>
        </w:trPr>
        <w:tc>
          <w:tcPr>
            <w:tcW w:w="7298" w:type="dxa"/>
            <w:shd w:val="clear" w:color="auto" w:fill="auto"/>
          </w:tcPr>
          <w:p w:rsidR="00E8471E" w:rsidRDefault="00E8471E" w:rsidP="00E8471E">
            <w:pPr>
              <w:pStyle w:val="Tabellenberschrift"/>
            </w:pPr>
            <w:r>
              <w:t>Wesentliche Kompetenzen</w:t>
            </w:r>
          </w:p>
          <w:p w:rsidR="00E8471E" w:rsidRDefault="00E8471E" w:rsidP="0095227F">
            <w:pPr>
              <w:pStyle w:val="Tabellentext"/>
            </w:pPr>
            <w:r>
              <w:t xml:space="preserve">Die </w:t>
            </w:r>
            <w:r w:rsidR="0095227F">
              <w:t>Schülerinnen und Schüler</w:t>
            </w:r>
          </w:p>
          <w:p w:rsidR="00E8471E" w:rsidRDefault="00E8471E" w:rsidP="0095227F">
            <w:pPr>
              <w:pStyle w:val="Tabellenspiegelstrich"/>
            </w:pPr>
            <w:r>
              <w:t>p</w:t>
            </w:r>
            <w:r w:rsidR="0095227F">
              <w:t>lanen ihre eigene Arbeitsweise</w:t>
            </w:r>
          </w:p>
          <w:p w:rsidR="00E8471E" w:rsidRDefault="00E8471E" w:rsidP="0095227F">
            <w:pPr>
              <w:pStyle w:val="Tabellenspiegelstrich"/>
            </w:pPr>
            <w:r>
              <w:t>informieren sich über Hinweise zur bisherigen Qualität der Beratungs- und Verkaufsgespräche in</w:t>
            </w:r>
            <w:r w:rsidR="0095227F">
              <w:t xml:space="preserve"> der Branche und im Unternehmen</w:t>
            </w:r>
          </w:p>
          <w:p w:rsidR="00E8471E" w:rsidRDefault="00E8471E" w:rsidP="0095227F">
            <w:pPr>
              <w:pStyle w:val="Tabellenspiegelstrich"/>
            </w:pPr>
            <w:r>
              <w:t xml:space="preserve">informieren sich über geeignete Techniken der Gesprächs- und der </w:t>
            </w:r>
            <w:r w:rsidR="0095227F">
              <w:t>Verhandlungsführung</w:t>
            </w:r>
          </w:p>
          <w:p w:rsidR="00E8471E" w:rsidRDefault="00E8471E" w:rsidP="0095227F">
            <w:pPr>
              <w:pStyle w:val="Tabellenspiegelstrich"/>
              <w:rPr>
                <w:color w:val="0070C0"/>
              </w:rPr>
            </w:pPr>
            <w:r>
              <w:t xml:space="preserve">führen Beratungs- und Verkaufsgespräche </w:t>
            </w:r>
            <w:r>
              <w:rPr>
                <w:color w:val="0070C0"/>
              </w:rPr>
              <w:t xml:space="preserve">unter </w:t>
            </w:r>
            <w:r w:rsidR="0095227F">
              <w:rPr>
                <w:color w:val="0070C0"/>
              </w:rPr>
              <w:t>Nutzung geeigneter Medien durch</w:t>
            </w:r>
          </w:p>
          <w:p w:rsidR="00E8471E" w:rsidRDefault="00E8471E" w:rsidP="0095227F">
            <w:pPr>
              <w:pStyle w:val="Tabellenspiegelstrich"/>
            </w:pPr>
            <w:r>
              <w:t>reagieren situationsgerecht</w:t>
            </w:r>
            <w:r w:rsidR="0095227F">
              <w:t xml:space="preserve"> auf Kundeneinwände</w:t>
            </w:r>
          </w:p>
          <w:p w:rsidR="00E8471E" w:rsidRDefault="00E8471E" w:rsidP="0095227F">
            <w:pPr>
              <w:pStyle w:val="Tabellenspiegelstrich"/>
            </w:pPr>
            <w:r>
              <w:t xml:space="preserve">weisen auf Serviceangebote, Dienstleistungen und Ergänzungsartikel </w:t>
            </w:r>
            <w:r w:rsidR="0095227F">
              <w:t>hin, auch in einer Fremdsprache</w:t>
            </w:r>
          </w:p>
          <w:p w:rsidR="00E8471E" w:rsidRDefault="00E8471E" w:rsidP="0095227F">
            <w:pPr>
              <w:pStyle w:val="Tabellenspiegelstrich"/>
            </w:pPr>
            <w:r>
              <w:t>bewerten und reflektieren ihr Arbeitsergebnis, auch unter de</w:t>
            </w:r>
            <w:r w:rsidR="0095227F">
              <w:t>m Aspekt der Kundenorientierung</w:t>
            </w:r>
          </w:p>
          <w:p w:rsidR="00E8471E" w:rsidRDefault="00E8471E" w:rsidP="0095227F">
            <w:pPr>
              <w:pStyle w:val="Tabellenspiegelstrich"/>
              <w:rPr>
                <w:b/>
                <w:color w:val="ED7D31"/>
              </w:rPr>
            </w:pPr>
            <w:r>
              <w:rPr>
                <w:color w:val="ED7D31"/>
              </w:rPr>
              <w:t>bewerten und reflektieren ihren Arbeitsprozess.</w:t>
            </w:r>
          </w:p>
        </w:tc>
        <w:tc>
          <w:tcPr>
            <w:tcW w:w="7273" w:type="dxa"/>
            <w:shd w:val="clear" w:color="auto" w:fill="auto"/>
          </w:tcPr>
          <w:p w:rsidR="00E8471E" w:rsidRDefault="00E8471E" w:rsidP="00E8471E">
            <w:pPr>
              <w:pStyle w:val="Tabellenberschrift"/>
            </w:pPr>
            <w:r>
              <w:t>Konkretisierung der Inhalte</w:t>
            </w:r>
          </w:p>
          <w:p w:rsidR="00E8471E" w:rsidRDefault="00E8471E" w:rsidP="0095227F">
            <w:pPr>
              <w:pStyle w:val="Tabellenspiegelstrich"/>
            </w:pPr>
            <w:r>
              <w:t>Phasen des Beratungs-/Verkaufsgespräches</w:t>
            </w:r>
          </w:p>
          <w:p w:rsidR="00E8471E" w:rsidRDefault="00E8471E" w:rsidP="0095227F">
            <w:pPr>
              <w:pStyle w:val="Tabellenspiegelstrich"/>
            </w:pPr>
            <w:r>
              <w:t>Techniken der Gesprächsführung</w:t>
            </w:r>
          </w:p>
          <w:p w:rsidR="00E8471E" w:rsidRDefault="00E8471E" w:rsidP="0095227F">
            <w:pPr>
              <w:pStyle w:val="Tabellenspiegelstrich"/>
            </w:pPr>
            <w:r>
              <w:t>Nonverbale und verbale Kommunikation</w:t>
            </w:r>
          </w:p>
          <w:p w:rsidR="00E8471E" w:rsidRDefault="00E8471E" w:rsidP="0095227F">
            <w:pPr>
              <w:pStyle w:val="Tabellenspiegelstrich"/>
            </w:pPr>
            <w:r>
              <w:t>Kundenorientiertes Telefonieren</w:t>
            </w:r>
          </w:p>
          <w:p w:rsidR="00E8471E" w:rsidRPr="0095227F" w:rsidRDefault="00E8471E" w:rsidP="0095227F">
            <w:pPr>
              <w:pStyle w:val="Tabellenspiegelstrich"/>
            </w:pPr>
            <w:r>
              <w:t>Serviceangebote, Dienstleistungen und Ergänzungsartikel</w:t>
            </w:r>
          </w:p>
        </w:tc>
      </w:tr>
      <w:tr w:rsidR="00E8471E" w:rsidTr="0095227F">
        <w:trPr>
          <w:cantSplit/>
          <w:trHeight w:val="964"/>
          <w:jc w:val="center"/>
        </w:trPr>
        <w:tc>
          <w:tcPr>
            <w:tcW w:w="14571" w:type="dxa"/>
            <w:gridSpan w:val="2"/>
            <w:shd w:val="clear" w:color="auto" w:fill="auto"/>
          </w:tcPr>
          <w:p w:rsidR="00E8471E" w:rsidRDefault="00E8471E" w:rsidP="00E8471E">
            <w:pPr>
              <w:pStyle w:val="Tabellenberschrift"/>
            </w:pPr>
            <w:r>
              <w:lastRenderedPageBreak/>
              <w:t>Lern- und Arbeitstechniken</w:t>
            </w:r>
          </w:p>
          <w:p w:rsidR="00E8471E" w:rsidRDefault="00E8471E" w:rsidP="0095227F">
            <w:pPr>
              <w:pStyle w:val="Tabellenspiegelstrich"/>
            </w:pPr>
            <w:r>
              <w:t xml:space="preserve">Gruppenarbeit mit zunächst arbeitsteiliger Bearbeitung der aus der Lernsituation abgeleiteten Themen </w:t>
            </w:r>
          </w:p>
          <w:p w:rsidR="00E8471E" w:rsidRDefault="00E8471E" w:rsidP="0095227F">
            <w:pPr>
              <w:pStyle w:val="Tabellenspiegelstrich"/>
              <w:rPr>
                <w:color w:val="007EC5"/>
              </w:rPr>
            </w:pPr>
            <w:r>
              <w:rPr>
                <w:color w:val="007EC5"/>
              </w:rPr>
              <w:t>Erstellung eines Padlet</w:t>
            </w:r>
            <w:r w:rsidR="0095227F">
              <w:rPr>
                <w:color w:val="007EC5"/>
              </w:rPr>
              <w:t>s</w:t>
            </w:r>
            <w:r>
              <w:rPr>
                <w:color w:val="007EC5"/>
              </w:rPr>
              <w:t xml:space="preserve"> je Arbeitsgruppe zur Zusammenführung der Einzelergebnisse und Präsentation vor der Lerngruppe </w:t>
            </w:r>
          </w:p>
          <w:p w:rsidR="00E8471E" w:rsidRDefault="00E8471E" w:rsidP="0095227F">
            <w:pPr>
              <w:pStyle w:val="Tabellenspiegelstrich"/>
              <w:rPr>
                <w:color w:val="4CB848"/>
              </w:rPr>
            </w:pPr>
            <w:r>
              <w:rPr>
                <w:color w:val="4CB848"/>
              </w:rPr>
              <w:t>Entwurf eines Drehbuches je Arbeitsgruppe unter Nutzung eines Textverarbeitungsprogramms sowie Umsetzung (Film)</w:t>
            </w:r>
          </w:p>
          <w:p w:rsidR="00E8471E" w:rsidRDefault="00E8471E" w:rsidP="0095227F">
            <w:pPr>
              <w:pStyle w:val="Tabellenspiegelstrich"/>
            </w:pPr>
            <w:r>
              <w:t>Anwendung der Ergebnisse in Rollenspielen vor der Lerngruppe (Dokumentation der Beobachtungen)</w:t>
            </w:r>
          </w:p>
          <w:p w:rsidR="00E8471E" w:rsidRDefault="00E8471E" w:rsidP="0095227F">
            <w:pPr>
              <w:pStyle w:val="Tabellenspiegelstrich"/>
            </w:pPr>
            <w:r>
              <w:t>Bewertung der Rollenspiele</w:t>
            </w:r>
          </w:p>
          <w:p w:rsidR="00E8471E" w:rsidRDefault="00E8471E" w:rsidP="0095227F">
            <w:pPr>
              <w:pStyle w:val="Tabellenspiegelstrich"/>
              <w:rPr>
                <w:color w:val="F36E21"/>
              </w:rPr>
            </w:pPr>
            <w:r>
              <w:rPr>
                <w:color w:val="F36E21"/>
              </w:rPr>
              <w:t>Reflexion des Arbeitsprozesses (z. B. per Smartphone unter Zuhilfenahme von Mentimeter)</w:t>
            </w:r>
          </w:p>
          <w:p w:rsidR="00E8471E" w:rsidRDefault="0095227F" w:rsidP="0095227F">
            <w:pPr>
              <w:pStyle w:val="Tabellentext"/>
              <w:spacing w:before="120"/>
            </w:pPr>
            <w:r w:rsidRPr="0095227F">
              <w:rPr>
                <w:u w:val="single"/>
              </w:rPr>
              <w:t>Englisch</w:t>
            </w:r>
            <w:r>
              <w:rPr>
                <w:rStyle w:val="Funotenzeichen"/>
                <w:color w:val="000000"/>
                <w:u w:val="single"/>
              </w:rPr>
              <w:footnoteReference w:id="1"/>
            </w:r>
          </w:p>
          <w:p w:rsidR="00E8471E" w:rsidRDefault="00E8471E" w:rsidP="0095227F">
            <w:pPr>
              <w:pStyle w:val="Tabellenspiegelstrich"/>
            </w:pPr>
            <w:r>
              <w:t xml:space="preserve">Schülerinnen und Schüler bieten </w:t>
            </w:r>
            <w:r w:rsidR="0095227F">
              <w:t xml:space="preserve">Kundinnen und </w:t>
            </w:r>
            <w:r>
              <w:t>Kunden ein breites Spektrum an eigenen Produkten und Dienstleistungen zielführend an.</w:t>
            </w:r>
          </w:p>
          <w:p w:rsidR="00E8471E" w:rsidRDefault="00E8471E" w:rsidP="0095227F">
            <w:pPr>
              <w:pStyle w:val="Tabellenspiegelstrich"/>
            </w:pPr>
            <w:r>
              <w:t xml:space="preserve">Schülerinnen und Schüler führen Produkt- und Dienstleistungsempfehlungen selbstständig kunden- und adressatengerecht durch und dokumentieren diese. </w:t>
            </w:r>
          </w:p>
          <w:p w:rsidR="00E8471E" w:rsidRPr="00E81807" w:rsidRDefault="00E8471E" w:rsidP="00B71329">
            <w:pPr>
              <w:pStyle w:val="Tabellenspiegelstrich"/>
              <w:rPr>
                <w:color w:val="000000"/>
                <w:spacing w:val="-4"/>
              </w:rPr>
            </w:pPr>
            <w:bookmarkStart w:id="0" w:name="_GoBack"/>
            <w:r w:rsidRPr="00E81807">
              <w:rPr>
                <w:spacing w:val="-4"/>
              </w:rPr>
              <w:t>Schülerinnen und Schüler beschreiben und erklären umfassend die eigenen Dienstleistungen und Handlungsschritte situations- und adressatengerecht.</w:t>
            </w:r>
            <w:bookmarkEnd w:id="0"/>
          </w:p>
          <w:p w:rsidR="00E8471E" w:rsidRPr="0095227F" w:rsidRDefault="00E8471E" w:rsidP="0095227F">
            <w:pPr>
              <w:pStyle w:val="Tabellentext"/>
              <w:spacing w:before="120"/>
              <w:rPr>
                <w:u w:val="single"/>
              </w:rPr>
            </w:pPr>
            <w:r w:rsidRPr="0095227F">
              <w:rPr>
                <w:u w:val="single"/>
              </w:rPr>
              <w:t>Deutsch/Kommunikation</w:t>
            </w:r>
            <w:r w:rsidR="0095227F">
              <w:rPr>
                <w:rStyle w:val="Funotenzeichen"/>
                <w:u w:val="single"/>
              </w:rPr>
              <w:footnoteReference w:id="2"/>
            </w:r>
          </w:p>
          <w:p w:rsidR="00E8471E" w:rsidRDefault="00E8471E" w:rsidP="00B71329">
            <w:pPr>
              <w:pStyle w:val="Tabellenspiegelstrich"/>
            </w:pPr>
            <w:r>
              <w:t xml:space="preserve">Schülerinnen und Schüler erkennen und nutzen gestalterische Elemente gesprochener Sprache. Sie kennen und wenden grundlegende Funktionen von Sprache und Texten in unterschiedlichen Medien und Gesprächsformen an (z. B. Telefonate, Verkaufsgespräche). </w:t>
            </w:r>
          </w:p>
          <w:p w:rsidR="00E8471E" w:rsidRDefault="00E8471E" w:rsidP="00B71329">
            <w:pPr>
              <w:pStyle w:val="Tabellenspiegelstrich"/>
            </w:pPr>
            <w:r>
              <w:t xml:space="preserve">Schülerinnen und Schüler kennen Merkmale von Sprachvarietäten und nutzen sie zielgerichtet und adressatengerecht und reflektieren deren Funktion (z. B. Beratungsgespräch mit </w:t>
            </w:r>
            <w:r w:rsidR="00B71329">
              <w:t xml:space="preserve">Kundinnen und </w:t>
            </w:r>
            <w:r>
              <w:t>Kunden).</w:t>
            </w:r>
            <w:r w:rsidR="00B71329">
              <w:t xml:space="preserve"> </w:t>
            </w:r>
          </w:p>
        </w:tc>
      </w:tr>
      <w:tr w:rsidR="00E8471E" w:rsidTr="00E8471E">
        <w:trPr>
          <w:trHeight w:val="964"/>
          <w:jc w:val="center"/>
        </w:trPr>
        <w:tc>
          <w:tcPr>
            <w:tcW w:w="14571" w:type="dxa"/>
            <w:gridSpan w:val="2"/>
            <w:shd w:val="clear" w:color="auto" w:fill="auto"/>
          </w:tcPr>
          <w:p w:rsidR="00E8471E" w:rsidRDefault="00E8471E" w:rsidP="00E8471E">
            <w:pPr>
              <w:pStyle w:val="Tabellenberschrift"/>
            </w:pPr>
            <w:r>
              <w:t>Unterrichtsmaterialien/Fundstelle</w:t>
            </w:r>
          </w:p>
          <w:p w:rsidR="00E8471E" w:rsidRPr="00B71329" w:rsidRDefault="00E8471E" w:rsidP="00B71329">
            <w:pPr>
              <w:pStyle w:val="Tabellenspiegelstrich"/>
              <w:rPr>
                <w:rStyle w:val="LSblau"/>
              </w:rPr>
            </w:pPr>
            <w:r w:rsidRPr="00B71329">
              <w:rPr>
                <w:rStyle w:val="LSblau"/>
              </w:rPr>
              <w:t xml:space="preserve">Internetrecherche zu den Themen Umgang mit Großkunden, Vertriebsmanagement, Führen von Verkaufs- und Beratungsgesprächen u. a. </w:t>
            </w:r>
          </w:p>
          <w:p w:rsidR="00E8471E" w:rsidRDefault="00E8471E" w:rsidP="00B71329">
            <w:pPr>
              <w:pStyle w:val="Tabellenspiegelstrich"/>
            </w:pPr>
            <w:r>
              <w:rPr>
                <w:color w:val="000000"/>
              </w:rPr>
              <w:t xml:space="preserve">Fachbuch </w:t>
            </w:r>
          </w:p>
          <w:p w:rsidR="00E8471E" w:rsidRDefault="00E8471E" w:rsidP="00B71329">
            <w:pPr>
              <w:pStyle w:val="Tabellenspiegelstrich"/>
            </w:pPr>
            <w:r>
              <w:rPr>
                <w:color w:val="000000"/>
              </w:rPr>
              <w:t xml:space="preserve">Beobachtungsbogen </w:t>
            </w:r>
            <w:r>
              <w:t>(vorgegeben von der Lehrkraft oder im Internet recherchiert)</w:t>
            </w:r>
          </w:p>
          <w:p w:rsidR="00E8471E" w:rsidRDefault="00E8471E" w:rsidP="00B71329">
            <w:pPr>
              <w:pStyle w:val="Tabellenspiegelstrich"/>
            </w:pPr>
            <w:r>
              <w:rPr>
                <w:color w:val="000000"/>
              </w:rPr>
              <w:t>Informationen zur bisherigen Qualität der Beratungs- und Verkaufsgespräche (z. B. vorliegende Beschwerden)</w:t>
            </w:r>
          </w:p>
        </w:tc>
      </w:tr>
      <w:tr w:rsidR="00E8471E" w:rsidTr="00E8471E">
        <w:trPr>
          <w:trHeight w:val="964"/>
          <w:jc w:val="center"/>
        </w:trPr>
        <w:tc>
          <w:tcPr>
            <w:tcW w:w="14571" w:type="dxa"/>
            <w:gridSpan w:val="2"/>
            <w:shd w:val="clear" w:color="auto" w:fill="auto"/>
          </w:tcPr>
          <w:p w:rsidR="00E8471E" w:rsidRDefault="00E8471E" w:rsidP="00E8471E">
            <w:pPr>
              <w:pStyle w:val="Tabellenberschrift"/>
            </w:pPr>
            <w:r>
              <w:t>Organisatorische Hinweise</w:t>
            </w:r>
          </w:p>
          <w:p w:rsidR="00E8471E" w:rsidRDefault="00E8471E" w:rsidP="00B71329">
            <w:pPr>
              <w:numPr>
                <w:ilvl w:val="0"/>
                <w:numId w:val="18"/>
              </w:numPr>
              <w:shd w:val="clear" w:color="auto" w:fill="FFFFFF"/>
              <w:spacing w:before="0" w:after="0"/>
              <w:jc w:val="left"/>
              <w:rPr>
                <w:color w:val="404040"/>
                <w:sz w:val="23"/>
                <w:szCs w:val="23"/>
              </w:rPr>
            </w:pPr>
            <w:r>
              <w:rPr>
                <w:color w:val="404040"/>
                <w:sz w:val="23"/>
                <w:szCs w:val="23"/>
              </w:rPr>
              <w:t>Anhand der Lernsituation ermitteln die Schülerinnen und Schüler im Plenum die zu untersuchenden Fragestellungen, die dann die Grundlage für die Strukturierung des gemeinsamen Padlet</w:t>
            </w:r>
            <w:r w:rsidR="00B71329">
              <w:rPr>
                <w:color w:val="404040"/>
                <w:sz w:val="23"/>
                <w:szCs w:val="23"/>
              </w:rPr>
              <w:t>s</w:t>
            </w:r>
            <w:r>
              <w:rPr>
                <w:color w:val="404040"/>
                <w:sz w:val="23"/>
                <w:szCs w:val="23"/>
              </w:rPr>
              <w:t xml:space="preserve"> darstellen.</w:t>
            </w:r>
          </w:p>
          <w:p w:rsidR="00E8471E" w:rsidRDefault="00E8471E" w:rsidP="00B71329">
            <w:pPr>
              <w:numPr>
                <w:ilvl w:val="0"/>
                <w:numId w:val="18"/>
              </w:numPr>
              <w:shd w:val="clear" w:color="auto" w:fill="FFFFFF"/>
              <w:spacing w:before="0" w:after="0"/>
              <w:jc w:val="left"/>
              <w:rPr>
                <w:color w:val="404040"/>
                <w:sz w:val="23"/>
                <w:szCs w:val="23"/>
              </w:rPr>
            </w:pPr>
            <w:r>
              <w:rPr>
                <w:color w:val="404040"/>
                <w:sz w:val="23"/>
                <w:szCs w:val="23"/>
              </w:rPr>
              <w:t xml:space="preserve">Rollenspiele sollten per </w:t>
            </w:r>
            <w:r>
              <w:rPr>
                <w:color w:val="007EC5"/>
              </w:rPr>
              <w:t xml:space="preserve">Handykamera </w:t>
            </w:r>
            <w:r>
              <w:rPr>
                <w:color w:val="000000"/>
              </w:rPr>
              <w:t>gefilmt und z. B. mit</w:t>
            </w:r>
            <w:r>
              <w:rPr>
                <w:color w:val="007EC5"/>
              </w:rPr>
              <w:t xml:space="preserve"> Apple-TV</w:t>
            </w:r>
            <w:r>
              <w:rPr>
                <w:color w:val="404040"/>
                <w:sz w:val="23"/>
                <w:szCs w:val="23"/>
              </w:rPr>
              <w:t xml:space="preserve"> anschließend im Plenum gezeigt, dann besprochen und kritisch reflektiert werden.</w:t>
            </w:r>
          </w:p>
          <w:p w:rsidR="00E8471E" w:rsidRPr="00B71329" w:rsidRDefault="00E8471E" w:rsidP="00B71329">
            <w:pPr>
              <w:numPr>
                <w:ilvl w:val="0"/>
                <w:numId w:val="18"/>
              </w:numPr>
              <w:shd w:val="clear" w:color="auto" w:fill="FFFFFF"/>
              <w:spacing w:before="0" w:after="0"/>
              <w:jc w:val="left"/>
              <w:rPr>
                <w:color w:val="404040"/>
                <w:sz w:val="23"/>
                <w:szCs w:val="23"/>
              </w:rPr>
            </w:pPr>
            <w:r>
              <w:rPr>
                <w:color w:val="404040"/>
                <w:sz w:val="23"/>
                <w:szCs w:val="23"/>
              </w:rPr>
              <w:t xml:space="preserve">Infrastruktur zur Nutzung von Standardbüroanwendungen (Textverarbeitungsprogramme) </w:t>
            </w:r>
          </w:p>
        </w:tc>
      </w:tr>
    </w:tbl>
    <w:p w:rsidR="00762217" w:rsidRPr="00C658E7" w:rsidRDefault="00762217" w:rsidP="00B71329">
      <w:pPr>
        <w:spacing w:before="120" w:after="0"/>
      </w:pPr>
      <w:r w:rsidRPr="00C658E7">
        <w:rPr>
          <w:bCs/>
          <w:color w:val="ED7D31"/>
        </w:rPr>
        <w:t>Medienkompetenz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007EC5"/>
        </w:rPr>
        <w:t>Anwendungs-Know-how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4CB848"/>
        </w:rPr>
        <w:t xml:space="preserve">Informatische Grundkenntnisse </w:t>
      </w:r>
      <w:r w:rsidRPr="00C658E7">
        <w:rPr>
          <w:bCs/>
        </w:rPr>
        <w:t>(Bitte markieren Sie alle Aussagen zu diesen drei Kompetenzbereichen in den entsprechenden Farben.)</w:t>
      </w:r>
    </w:p>
    <w:sectPr w:rsidR="00762217" w:rsidRPr="00C658E7" w:rsidSect="00BF4088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5DF" w:rsidRDefault="006915DF">
      <w:r>
        <w:separator/>
      </w:r>
    </w:p>
    <w:p w:rsidR="006915DF" w:rsidRDefault="006915DF"/>
    <w:p w:rsidR="006915DF" w:rsidRDefault="006915DF"/>
  </w:endnote>
  <w:endnote w:type="continuationSeparator" w:id="0">
    <w:p w:rsidR="006915DF" w:rsidRDefault="006915DF">
      <w:r>
        <w:continuationSeparator/>
      </w:r>
    </w:p>
    <w:p w:rsidR="006915DF" w:rsidRDefault="006915DF"/>
    <w:p w:rsidR="006915DF" w:rsidRDefault="006915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817652" w:rsidRDefault="00817652" w:rsidP="000348A1">
    <w:pPr>
      <w:pStyle w:val="Fuzeile"/>
      <w:tabs>
        <w:tab w:val="clear" w:pos="4536"/>
        <w:tab w:val="clear" w:pos="9072"/>
        <w:tab w:val="right" w:pos="14601"/>
      </w:tabs>
      <w:spacing w:before="0" w:after="0"/>
      <w:rPr>
        <w:szCs w:val="20"/>
      </w:rPr>
    </w:pPr>
    <w:r>
      <w:t xml:space="preserve">Quelle: </w:t>
    </w:r>
    <w:r w:rsidRPr="00D225C5">
      <w:t>www.berufsbildun</w:t>
    </w:r>
    <w:r w:rsidR="00D225C5" w:rsidRPr="00D225C5">
      <w:t>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E81807">
      <w:rPr>
        <w:noProof/>
      </w:rPr>
      <w:t>2</w:t>
    </w:r>
    <w:r>
      <w:fldChar w:fldCharType="end"/>
    </w:r>
    <w:r>
      <w:t xml:space="preserve"> von </w:t>
    </w:r>
    <w:r w:rsidR="00E81807">
      <w:fldChar w:fldCharType="begin"/>
    </w:r>
    <w:r w:rsidR="00E81807">
      <w:instrText xml:space="preserve"> NUMPAGES  \* Arabic  \* MERGEFORMAT </w:instrText>
    </w:r>
    <w:r w:rsidR="00E81807">
      <w:fldChar w:fldCharType="separate"/>
    </w:r>
    <w:r w:rsidR="00E81807">
      <w:rPr>
        <w:noProof/>
      </w:rPr>
      <w:t>2</w:t>
    </w:r>
    <w:r w:rsidR="00E818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5DF" w:rsidRDefault="006915DF">
      <w:r>
        <w:separator/>
      </w:r>
    </w:p>
  </w:footnote>
  <w:footnote w:type="continuationSeparator" w:id="0">
    <w:p w:rsidR="006915DF" w:rsidRDefault="006915DF">
      <w:r>
        <w:continuationSeparator/>
      </w:r>
    </w:p>
    <w:p w:rsidR="006915DF" w:rsidRDefault="006915DF"/>
    <w:p w:rsidR="006915DF" w:rsidRDefault="006915DF"/>
  </w:footnote>
  <w:footnote w:id="1">
    <w:p w:rsidR="0095227F" w:rsidRDefault="0095227F">
      <w:pPr>
        <w:pStyle w:val="Funotentext"/>
      </w:pPr>
      <w:r>
        <w:rPr>
          <w:rStyle w:val="Funotenzeichen"/>
        </w:rPr>
        <w:footnoteRef/>
      </w:r>
      <w:r>
        <w:tab/>
      </w:r>
      <w:r w:rsidRPr="0095227F">
        <w:t>Vgl.: Bildungsplan Berufsschule – Fachklassen des dualen Systems der Berufsausbildung Fachbereich Wirtschaft und Verwaltung – Deutsch/Kommunikation (FHR), S. 2</w:t>
      </w:r>
      <w:r>
        <w:t>7</w:t>
      </w:r>
    </w:p>
  </w:footnote>
  <w:footnote w:id="2">
    <w:p w:rsidR="0095227F" w:rsidRDefault="0095227F">
      <w:pPr>
        <w:pStyle w:val="Funotentext"/>
      </w:pPr>
      <w:r>
        <w:rPr>
          <w:rStyle w:val="Funotenzeichen"/>
        </w:rPr>
        <w:footnoteRef/>
      </w:r>
      <w:r>
        <w:tab/>
      </w:r>
      <w:r w:rsidRPr="0095227F">
        <w:t>Vgl.: Bildungsplan Berufsschule – Fachklassen des dualen Systems der Berufsausbildung Fachbereich Wirtschaft und Verwaltung – Englisch (FHR), S. 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DE0DDC" w:rsidRDefault="00F25845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E81807">
                            <w:fldChar w:fldCharType="begin"/>
                          </w:r>
                          <w:r w:rsidR="00E81807">
                            <w:instrText xml:space="preserve"> NUMPAGES  \* Arabic  \* MERGEFORMAT </w:instrText>
                          </w:r>
                          <w:r w:rsidR="00E81807"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 w:rsidR="00E81807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E81807">
                      <w:fldChar w:fldCharType="begin"/>
                    </w:r>
                    <w:r w:rsidR="00E81807">
                      <w:instrText xml:space="preserve"> NUMPAGES  \* Arabic  \* MERGEFORMAT </w:instrText>
                    </w:r>
                    <w:r w:rsidR="00E81807"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 w:rsidR="00E81807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4F4" w:rsidRPr="000348A1" w:rsidRDefault="00E8471E" w:rsidP="000348A1">
    <w:pPr>
      <w:pStyle w:val="berschrift2"/>
      <w:numPr>
        <w:ilvl w:val="0"/>
        <w:numId w:val="0"/>
      </w:numPr>
      <w:spacing w:before="0" w:after="0"/>
      <w:rPr>
        <w:sz w:val="24"/>
      </w:rPr>
    </w:pPr>
    <w:r w:rsidRPr="00E8471E">
      <w:rPr>
        <w:sz w:val="24"/>
      </w:rPr>
      <w:t xml:space="preserve">Kauffrau </w:t>
    </w:r>
    <w:r>
      <w:rPr>
        <w:sz w:val="24"/>
      </w:rPr>
      <w:t>für</w:t>
    </w:r>
    <w:r w:rsidRPr="00E8471E">
      <w:rPr>
        <w:sz w:val="24"/>
      </w:rPr>
      <w:t xml:space="preserve"> Groß-</w:t>
    </w:r>
    <w:r>
      <w:rPr>
        <w:sz w:val="24"/>
      </w:rPr>
      <w:t xml:space="preserve"> und Außenhandelsmanagement/</w:t>
    </w:r>
    <w:r w:rsidRPr="00E8471E">
      <w:rPr>
        <w:sz w:val="24"/>
      </w:rPr>
      <w:t xml:space="preserve">Kaufmann </w:t>
    </w:r>
    <w:r>
      <w:rPr>
        <w:sz w:val="24"/>
      </w:rPr>
      <w:t>für</w:t>
    </w:r>
    <w:r w:rsidRPr="00E8471E">
      <w:rPr>
        <w:sz w:val="24"/>
      </w:rPr>
      <w:t xml:space="preserve"> Groß- und Außenhandelsmanagement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6B99163C"/>
    <w:multiLevelType w:val="multilevel"/>
    <w:tmpl w:val="7E9CC00A"/>
    <w:lvl w:ilvl="0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3"/>
  </w:num>
  <w:num w:numId="16">
    <w:abstractNumId w:val="17"/>
  </w:num>
  <w:num w:numId="17">
    <w:abstractNumId w:val="10"/>
  </w:num>
  <w:num w:numId="18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9697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48A1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593D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27F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1329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08F0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1807"/>
    <w:rsid w:val="00E839F4"/>
    <w:rsid w:val="00E8471E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0DDD3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95227F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LSblau">
    <w:name w:val="LS blau"/>
    <w:uiPriority w:val="1"/>
    <w:rsid w:val="002C593D"/>
    <w:rPr>
      <w:bCs/>
      <w:color w:val="007EC5"/>
    </w:rPr>
  </w:style>
  <w:style w:type="character" w:customStyle="1" w:styleId="LSgrn">
    <w:name w:val="LS grün"/>
    <w:uiPriority w:val="1"/>
    <w:rsid w:val="002C593D"/>
    <w:rPr>
      <w:bCs/>
      <w:color w:val="4CB848"/>
    </w:rPr>
  </w:style>
  <w:style w:type="character" w:customStyle="1" w:styleId="LSorange">
    <w:name w:val="LS orange"/>
    <w:uiPriority w:val="1"/>
    <w:rsid w:val="002C593D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2F388-02E5-4F68-A803-08EC4A388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3963</Characters>
  <Application>Microsoft Office Word</Application>
  <DocSecurity>0</DocSecurity>
  <Lines>33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2020-06-19T07:52:00Z</dcterms:created>
  <dcterms:modified xsi:type="dcterms:W3CDTF">2020-06-19T07:53:00Z</dcterms:modified>
</cp:coreProperties>
</file>