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455" w:rsidRPr="00A9795B" w:rsidRDefault="00F31455" w:rsidP="00F31455">
      <w:pPr>
        <w:spacing w:before="0" w:after="12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A9795B">
        <w:rPr>
          <w:b/>
          <w:bCs/>
          <w:sz w:val="28"/>
          <w:szCs w:val="28"/>
        </w:rPr>
        <w:t xml:space="preserve">Anordnung der Lernsituationen im Lernfeld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F31455" w:rsidRPr="00F31455" w:rsidTr="0070348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</w:rPr>
              <w:t xml:space="preserve">Titel der Lernsituation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</w:rPr>
              <w:t>Kompetenzen aus dem KMK-Rahmenlehrplan</w:t>
            </w:r>
          </w:p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</w:rPr>
              <w:t>Beiträge der Fächer zum Kompetenzerwerb in Abstimmung mit dem Fachlehrplan</w:t>
            </w:r>
          </w:p>
        </w:tc>
      </w:tr>
      <w:tr w:rsidR="00F31455" w:rsidRPr="00F31455" w:rsidTr="00703486">
        <w:trPr>
          <w:cantSplit/>
          <w:trHeight w:val="3385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  <w:r w:rsidRPr="00F31455">
              <w:t>12.1</w:t>
            </w:r>
          </w:p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455" w:rsidRPr="00F31455" w:rsidRDefault="00F31455" w:rsidP="00703486">
            <w:pPr>
              <w:spacing w:before="60" w:after="0"/>
              <w:jc w:val="left"/>
            </w:pPr>
            <w:r w:rsidRPr="00F31455">
              <w:t>Zahlungsbedingungen bei Außenhandelsgeschäften – allgemeine Übersicht und begründete fallbezogene Auswahl von Zahlungsbedingungen bei Außenhandelsgeschäften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  <w:rPr>
                <w:b/>
                <w:bCs/>
              </w:rPr>
            </w:pPr>
            <w:r w:rsidRPr="00F31455">
              <w:rPr>
                <w:b/>
                <w:bCs/>
                <w:color w:val="000000"/>
              </w:rPr>
              <w:t>10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F31455" w:rsidRPr="00F31455" w:rsidRDefault="00F31455" w:rsidP="00703486">
            <w:pPr>
              <w:spacing w:before="0" w:after="0"/>
              <w:jc w:val="left"/>
            </w:pPr>
            <w:r w:rsidRPr="00F31455">
              <w:t xml:space="preserve">Die Schülerinnen und Schüler </w:t>
            </w:r>
            <w:r w:rsidRPr="00F31455">
              <w:rPr>
                <w:b/>
                <w:bCs/>
              </w:rPr>
              <w:t>analysieren</w:t>
            </w:r>
            <w:r w:rsidRPr="00F31455">
              <w:t xml:space="preserve"> die Finanzierung von Außenhandelsgeschäften.</w:t>
            </w:r>
          </w:p>
          <w:p w:rsidR="00F31455" w:rsidRPr="00F31455" w:rsidRDefault="00F31455" w:rsidP="00703486">
            <w:pPr>
              <w:spacing w:after="240"/>
              <w:jc w:val="left"/>
            </w:pPr>
            <w:r w:rsidRPr="00F31455">
              <w:t xml:space="preserve">Sie </w:t>
            </w:r>
            <w:r w:rsidRPr="00F31455">
              <w:rPr>
                <w:b/>
                <w:bCs/>
              </w:rPr>
              <w:t>informieren</w:t>
            </w:r>
            <w:r w:rsidRPr="00F31455">
              <w:t xml:space="preserve"> sich über Finanzierungskosten und Rücklaufzeiten finanzieller Mittel für Außenhandelsgeschäfte. Sie ermitteln in Abhängigkeit von der gewählten Zahlungs-bedingung (</w:t>
            </w:r>
            <w:r w:rsidRPr="00F31455">
              <w:rPr>
                <w:i/>
                <w:iCs/>
              </w:rPr>
              <w:t>offenes Ziel, netto Kasse, Dokumenteninkasso, Dokumentenakkreditiv, Vorkasse</w:t>
            </w:r>
            <w:r w:rsidRPr="00F31455">
              <w:t>) Finanzierungszeiträume und -kosten für Angebotskalkulationen.</w:t>
            </w:r>
          </w:p>
        </w:tc>
      </w:tr>
      <w:tr w:rsidR="00F31455" w:rsidRPr="00F31455" w:rsidTr="0070348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</w:tr>
      <w:tr w:rsidR="00F31455" w:rsidRPr="00F31455" w:rsidTr="0070348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</w:tr>
      <w:tr w:rsidR="00F31455" w:rsidRPr="00F31455" w:rsidTr="0070348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</w:tr>
      <w:tr w:rsidR="00F31455" w:rsidRPr="00F31455" w:rsidTr="0070348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F31455" w:rsidRPr="00F31455" w:rsidRDefault="00F31455" w:rsidP="00F31455">
            <w:pPr>
              <w:spacing w:before="60" w:after="0"/>
              <w:jc w:val="left"/>
            </w:pPr>
          </w:p>
        </w:tc>
      </w:tr>
    </w:tbl>
    <w:p w:rsidR="005506FE" w:rsidRDefault="005506FE"/>
    <w:p w:rsidR="000157F7" w:rsidRDefault="000157F7">
      <w:pPr>
        <w:spacing w:before="0"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506FE" w:rsidRPr="000157F7" w:rsidRDefault="000157F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5506FE" w:rsidRPr="000157F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Gestaltung von Lernsituationen</w:t>
      </w:r>
    </w:p>
    <w:tbl>
      <w:tblPr>
        <w:tblW w:w="14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5"/>
        <w:gridCol w:w="7270"/>
      </w:tblGrid>
      <w:tr w:rsidR="00F31455" w:rsidTr="00E87E37">
        <w:trPr>
          <w:jc w:val="center"/>
        </w:trPr>
        <w:tc>
          <w:tcPr>
            <w:tcW w:w="14565" w:type="dxa"/>
            <w:gridSpan w:val="2"/>
          </w:tcPr>
          <w:p w:rsidR="00F31455" w:rsidRPr="00E835F0" w:rsidRDefault="005506FE" w:rsidP="00E87E37">
            <w:pPr>
              <w:pStyle w:val="Tabellentext"/>
              <w:widowControl w:val="0"/>
              <w:tabs>
                <w:tab w:val="left" w:pos="2847"/>
              </w:tabs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F31455" w:rsidRPr="00E835F0">
              <w:rPr>
                <w:b/>
                <w:bCs/>
              </w:rPr>
              <w:t>Ausbildungsjahr</w:t>
            </w:r>
          </w:p>
          <w:p w:rsidR="00F31455" w:rsidRPr="00550E50" w:rsidRDefault="00F31455" w:rsidP="00B1636F">
            <w:pPr>
              <w:pStyle w:val="Tabellentext"/>
              <w:tabs>
                <w:tab w:val="left" w:pos="2492"/>
              </w:tabs>
              <w:spacing w:before="60" w:after="60"/>
            </w:pPr>
            <w:r w:rsidRPr="00E835F0">
              <w:rPr>
                <w:b/>
                <w:bCs/>
              </w:rPr>
              <w:t>Bündelungsfach:</w:t>
            </w:r>
            <w:r>
              <w:tab/>
            </w:r>
            <w:r w:rsidRPr="001C4ADE">
              <w:rPr>
                <w:bCs/>
              </w:rPr>
              <w:t>Geschäftsprozesse im Groß- und Außenhandelsmanagement</w:t>
            </w:r>
          </w:p>
          <w:p w:rsidR="00F31455" w:rsidRDefault="00F31455" w:rsidP="00B1636F">
            <w:pPr>
              <w:pStyle w:val="Tabellentext"/>
              <w:tabs>
                <w:tab w:val="left" w:pos="2492"/>
              </w:tabs>
              <w:spacing w:before="60" w:after="60"/>
            </w:pPr>
            <w:r w:rsidRPr="00E835F0">
              <w:rPr>
                <w:b/>
                <w:bCs/>
              </w:rPr>
              <w:t xml:space="preserve">Lernfeld </w:t>
            </w:r>
            <w:r>
              <w:rPr>
                <w:b/>
                <w:bCs/>
              </w:rPr>
              <w:t>12</w:t>
            </w:r>
            <w:r w:rsidR="00703486">
              <w:rPr>
                <w:b/>
                <w:bCs/>
              </w:rPr>
              <w:t>:</w:t>
            </w:r>
            <w:r>
              <w:tab/>
              <w:t>Außenhandelsgeschäfte abwickeln und finanzieren (80 UStd.)</w:t>
            </w:r>
          </w:p>
          <w:p w:rsidR="00F31455" w:rsidRDefault="00F31455" w:rsidP="00B1636F">
            <w:pPr>
              <w:pStyle w:val="Tabellentext"/>
              <w:tabs>
                <w:tab w:val="left" w:pos="2492"/>
              </w:tabs>
              <w:spacing w:before="60" w:after="60"/>
            </w:pPr>
            <w:r w:rsidRPr="00E835F0">
              <w:rPr>
                <w:b/>
                <w:bCs/>
              </w:rPr>
              <w:t xml:space="preserve">Lernsituation </w:t>
            </w:r>
            <w:r w:rsidRPr="001C4ADE">
              <w:rPr>
                <w:b/>
              </w:rPr>
              <w:t>12.1</w:t>
            </w:r>
            <w:r w:rsidR="00B1636F">
              <w:rPr>
                <w:b/>
              </w:rPr>
              <w:t>AH</w:t>
            </w:r>
            <w:r w:rsidR="00703486">
              <w:rPr>
                <w:b/>
              </w:rPr>
              <w:t>:</w:t>
            </w:r>
            <w:r>
              <w:tab/>
              <w:t>Zahlungsbedingungen bei Außenhandelsgeschäften (10 UStd.)</w:t>
            </w:r>
          </w:p>
        </w:tc>
      </w:tr>
      <w:tr w:rsidR="00F31455" w:rsidTr="00E87E37">
        <w:trPr>
          <w:trHeight w:val="1814"/>
          <w:jc w:val="center"/>
        </w:trPr>
        <w:tc>
          <w:tcPr>
            <w:tcW w:w="7295" w:type="dxa"/>
          </w:tcPr>
          <w:p w:rsidR="00F31455" w:rsidRPr="00E835F0" w:rsidRDefault="00F31455" w:rsidP="00E87E37">
            <w:pPr>
              <w:pStyle w:val="Tabellenberschrift"/>
              <w:tabs>
                <w:tab w:val="left" w:pos="720"/>
              </w:tabs>
              <w:rPr>
                <w:u w:val="single"/>
              </w:rPr>
            </w:pPr>
            <w:r w:rsidRPr="00E835F0">
              <w:rPr>
                <w:u w:val="single"/>
              </w:rPr>
              <w:t xml:space="preserve">Einstiegsszenario </w:t>
            </w:r>
            <w:r w:rsidRPr="00E835F0">
              <w:rPr>
                <w:b w:val="0"/>
                <w:u w:val="single"/>
              </w:rPr>
              <w:t>(für das gesamte Lernfeld)</w:t>
            </w:r>
            <w:r w:rsidRPr="00E835F0">
              <w:rPr>
                <w:u w:val="single"/>
              </w:rPr>
              <w:t xml:space="preserve"> </w:t>
            </w:r>
          </w:p>
          <w:p w:rsidR="00F31455" w:rsidRDefault="00F31455" w:rsidP="00E87E37">
            <w:pPr>
              <w:pStyle w:val="Tabellentext"/>
              <w:spacing w:before="0"/>
            </w:pPr>
            <w:r w:rsidRPr="00E835F0">
              <w:rPr>
                <w:b/>
                <w:bCs/>
              </w:rPr>
              <w:t>A</w:t>
            </w:r>
            <w:r w:rsidRPr="008207F3">
              <w:t>ylin Yilmaz</w:t>
            </w:r>
            <w:r>
              <w:t xml:space="preserve"> (A)</w:t>
            </w:r>
            <w:r w:rsidRPr="008207F3">
              <w:t xml:space="preserve"> und </w:t>
            </w:r>
            <w:r w:rsidRPr="00E835F0">
              <w:rPr>
                <w:b/>
                <w:bCs/>
              </w:rPr>
              <w:t>B</w:t>
            </w:r>
            <w:r w:rsidRPr="008207F3">
              <w:t>en Schmitz</w:t>
            </w:r>
            <w:r>
              <w:t xml:space="preserve"> (B)</w:t>
            </w:r>
            <w:r w:rsidRPr="008207F3">
              <w:t xml:space="preserve"> h</w:t>
            </w:r>
            <w:bookmarkStart w:id="0" w:name="_GoBack"/>
            <w:bookmarkEnd w:id="0"/>
            <w:r w:rsidRPr="008207F3">
              <w:t xml:space="preserve">aben ihre Ausbildung zur </w:t>
            </w:r>
            <w:r w:rsidR="003E6868">
              <w:t>Kauffrau für</w:t>
            </w:r>
            <w:r w:rsidRPr="008207F3">
              <w:t xml:space="preserve"> Groß- und Außenhandelsmanagement</w:t>
            </w:r>
            <w:r w:rsidR="003E6868">
              <w:t xml:space="preserve"> bzw. zum </w:t>
            </w:r>
            <w:r w:rsidR="003E6868" w:rsidRPr="003E6868">
              <w:t>Kauf</w:t>
            </w:r>
            <w:r w:rsidR="003E6868">
              <w:t>mann</w:t>
            </w:r>
            <w:r w:rsidR="003E6868" w:rsidRPr="003E6868">
              <w:t xml:space="preserve"> für Groß- und Außenhandelsmanagement </w:t>
            </w:r>
            <w:r w:rsidRPr="008207F3">
              <w:t>erfolgreich abgeschlossen</w:t>
            </w:r>
            <w:r>
              <w:t>.</w:t>
            </w:r>
            <w:r w:rsidRPr="008207F3">
              <w:t xml:space="preserve"> </w:t>
            </w:r>
            <w:r>
              <w:t>B</w:t>
            </w:r>
            <w:r w:rsidRPr="008207F3">
              <w:t>eide</w:t>
            </w:r>
            <w:r>
              <w:t xml:space="preserve"> haben</w:t>
            </w:r>
            <w:r w:rsidRPr="008207F3">
              <w:t xml:space="preserve"> eine neue Stelle in der </w:t>
            </w:r>
            <w:r>
              <w:t xml:space="preserve">SunPower </w:t>
            </w:r>
            <w:r w:rsidRPr="008207F3">
              <w:t>GmbH angetreten, um in d</w:t>
            </w:r>
            <w:r>
              <w:t>ies</w:t>
            </w:r>
            <w:r w:rsidRPr="008207F3">
              <w:t>em m</w:t>
            </w:r>
            <w:r>
              <w:t>ittelständischen Unternehmen eine</w:t>
            </w:r>
            <w:r w:rsidRPr="008207F3">
              <w:t xml:space="preserve"> internationale Ausrichtung zu implementieren</w:t>
            </w:r>
            <w:r>
              <w:t>. Bisher war die SunPower GmbH sowohl bezüglich des Beschaffungs- als auch des Absatzmarktes fast ausschließlich innerhalb des bundesdeutschen Marktes aktiv.</w:t>
            </w:r>
          </w:p>
          <w:p w:rsidR="00F31455" w:rsidRDefault="00F31455" w:rsidP="00E87E37">
            <w:pPr>
              <w:pStyle w:val="Tabellentext"/>
              <w:spacing w:before="0"/>
            </w:pPr>
          </w:p>
          <w:p w:rsidR="00F31455" w:rsidRPr="00E835F0" w:rsidRDefault="00F31455" w:rsidP="00E87E37">
            <w:pPr>
              <w:pStyle w:val="Tabellenberschrift"/>
              <w:tabs>
                <w:tab w:val="left" w:pos="720"/>
              </w:tabs>
              <w:rPr>
                <w:u w:val="single"/>
              </w:rPr>
            </w:pPr>
            <w:r w:rsidRPr="00E835F0">
              <w:rPr>
                <w:u w:val="single"/>
              </w:rPr>
              <w:t xml:space="preserve">Einstiegsszenario </w:t>
            </w:r>
            <w:r w:rsidRPr="00E835F0">
              <w:rPr>
                <w:b w:val="0"/>
                <w:u w:val="single"/>
              </w:rPr>
              <w:t>(</w:t>
            </w:r>
            <w:r>
              <w:rPr>
                <w:b w:val="0"/>
                <w:u w:val="single"/>
              </w:rPr>
              <w:t>für die</w:t>
            </w:r>
            <w:r w:rsidRPr="00E835F0">
              <w:rPr>
                <w:b w:val="0"/>
                <w:u w:val="single"/>
              </w:rPr>
              <w:t xml:space="preserve"> Lernsituation 12.1)</w:t>
            </w:r>
          </w:p>
          <w:p w:rsidR="00F31455" w:rsidRDefault="00F31455" w:rsidP="00E87E37">
            <w:pPr>
              <w:pStyle w:val="Tabellentext"/>
              <w:spacing w:before="0"/>
            </w:pPr>
            <w:r>
              <w:t>Bei der SunPower GmbH herrscht bezüglich der neuen internationalen Ausrichtung Unsicherheit in vielen Abteilungen.</w:t>
            </w:r>
            <w:r w:rsidR="003E6868">
              <w:t xml:space="preserve"> </w:t>
            </w:r>
            <w:r>
              <w:t xml:space="preserve">Die Verkaufsabteilung möchte wissen, welche Zahlungskonditionen zukünftig bei der Erstellung von internationalen Angeboten berücksichtigt werden sollten. A und B bereiten sich auf eine Präsentation in der Verkaufsabteilung vor und beraten anschließend die </w:t>
            </w:r>
            <w:r w:rsidR="003E6868">
              <w:t xml:space="preserve">Sachbearbeiterinnen und </w:t>
            </w:r>
            <w:r>
              <w:t>Sachbearbeiter bei der Angebotserstellung.</w:t>
            </w:r>
          </w:p>
        </w:tc>
        <w:tc>
          <w:tcPr>
            <w:tcW w:w="7270" w:type="dxa"/>
          </w:tcPr>
          <w:p w:rsidR="00F31455" w:rsidRDefault="00F31455" w:rsidP="00E87E37">
            <w:pPr>
              <w:pStyle w:val="Tabellenberschrift"/>
            </w:pPr>
            <w:r>
              <w:t>Handlungsprodukt/Lernergebnis</w:t>
            </w:r>
          </w:p>
          <w:p w:rsidR="00F31455" w:rsidRPr="001C4ADE" w:rsidRDefault="00F31455" w:rsidP="00E87E37">
            <w:pPr>
              <w:pStyle w:val="Tabellenberschrift"/>
              <w:numPr>
                <w:ilvl w:val="0"/>
                <w:numId w:val="47"/>
              </w:numPr>
              <w:ind w:left="218" w:hanging="218"/>
              <w:rPr>
                <w:rFonts w:eastAsia="MS Mincho"/>
                <w:b w:val="0"/>
                <w:bCs/>
                <w:color w:val="548DD4"/>
              </w:rPr>
            </w:pPr>
            <w:r w:rsidRPr="001C4ADE">
              <w:rPr>
                <w:rFonts w:eastAsia="MS Mincho"/>
                <w:b w:val="0"/>
                <w:bCs/>
                <w:color w:val="548DD4"/>
              </w:rPr>
              <w:t xml:space="preserve">Übersicht zu Zahlungsbedingungen bei Außenhandelsgeschäften </w:t>
            </w:r>
          </w:p>
          <w:p w:rsidR="00F31455" w:rsidRPr="001C4ADE" w:rsidRDefault="00F31455" w:rsidP="00E87E37">
            <w:pPr>
              <w:pStyle w:val="Tabellenberschrift"/>
              <w:numPr>
                <w:ilvl w:val="0"/>
                <w:numId w:val="47"/>
              </w:numPr>
              <w:ind w:left="218" w:hanging="218"/>
              <w:rPr>
                <w:rFonts w:eastAsia="MS Mincho"/>
                <w:b w:val="0"/>
                <w:bCs/>
                <w:color w:val="548DD4"/>
              </w:rPr>
            </w:pPr>
            <w:r w:rsidRPr="001C4ADE">
              <w:rPr>
                <w:rFonts w:eastAsia="MS Mincho"/>
                <w:b w:val="0"/>
                <w:bCs/>
                <w:color w:val="548DD4"/>
              </w:rPr>
              <w:t>Übersicht der Kriterien für die Entscheidungsfindung bei der Auswahl von Zahlungsbedingungen (Handlungsschritte und Gegenüberstellung der Vor- und Nachteile)</w:t>
            </w:r>
          </w:p>
          <w:p w:rsidR="00F31455" w:rsidRPr="001C4ADE" w:rsidRDefault="00F31455" w:rsidP="00E87E37">
            <w:pPr>
              <w:pStyle w:val="Tabellenberschrift"/>
              <w:numPr>
                <w:ilvl w:val="0"/>
                <w:numId w:val="47"/>
              </w:numPr>
              <w:ind w:left="218" w:hanging="218"/>
              <w:rPr>
                <w:rFonts w:eastAsia="MS Mincho"/>
                <w:b w:val="0"/>
                <w:bCs/>
                <w:color w:val="548DD4"/>
              </w:rPr>
            </w:pPr>
            <w:r w:rsidRPr="001C4ADE">
              <w:rPr>
                <w:rFonts w:eastAsia="MS Mincho"/>
                <w:b w:val="0"/>
                <w:bCs/>
                <w:color w:val="548DD4"/>
              </w:rPr>
              <w:t>Angebote mit begründeter fallbezogener Auswahl einzelner Zahlungsbedingungen</w:t>
            </w:r>
          </w:p>
          <w:p w:rsidR="00F31455" w:rsidRPr="001C4ADE" w:rsidRDefault="00F31455" w:rsidP="00E87E37">
            <w:pPr>
              <w:pStyle w:val="Tabellenberschrift"/>
              <w:numPr>
                <w:ilvl w:val="0"/>
                <w:numId w:val="47"/>
              </w:numPr>
              <w:ind w:left="218" w:hanging="218"/>
              <w:rPr>
                <w:b w:val="0"/>
                <w:bCs/>
                <w:color w:val="4CB848"/>
              </w:rPr>
            </w:pPr>
            <w:r w:rsidRPr="001C4ADE">
              <w:rPr>
                <w:b w:val="0"/>
                <w:bCs/>
                <w:color w:val="4CB848"/>
              </w:rPr>
              <w:t>Kalkulation des Angebotspreises unter Berücksichtigung von Finanzierungskosten</w:t>
            </w:r>
          </w:p>
          <w:p w:rsidR="00F31455" w:rsidRPr="00E835F0" w:rsidRDefault="00F31455" w:rsidP="00E87E37">
            <w:pPr>
              <w:pStyle w:val="Tabellenberschrift"/>
              <w:ind w:left="218" w:hanging="218"/>
              <w:rPr>
                <w:b w:val="0"/>
                <w:bCs/>
              </w:rPr>
            </w:pPr>
          </w:p>
          <w:p w:rsidR="00F31455" w:rsidRPr="00E87E37" w:rsidRDefault="00F31455" w:rsidP="00E87E37">
            <w:pPr>
              <w:pStyle w:val="Tabellenberschrift"/>
            </w:pPr>
            <w:r>
              <w:t>ggf. Hinweise zur Lernerfolgsüberprüfung und Leistungsbewertung</w:t>
            </w:r>
          </w:p>
        </w:tc>
      </w:tr>
      <w:tr w:rsidR="00F31455" w:rsidTr="00E87E37">
        <w:trPr>
          <w:trHeight w:val="2113"/>
          <w:jc w:val="center"/>
        </w:trPr>
        <w:tc>
          <w:tcPr>
            <w:tcW w:w="7295" w:type="dxa"/>
          </w:tcPr>
          <w:p w:rsidR="00F31455" w:rsidRDefault="00F31455" w:rsidP="00E87E37">
            <w:pPr>
              <w:pStyle w:val="Tabellenberschrift"/>
              <w:tabs>
                <w:tab w:val="left" w:pos="720"/>
              </w:tabs>
            </w:pPr>
            <w:r>
              <w:t>Wesentliche Kompetenzen</w:t>
            </w:r>
          </w:p>
          <w:p w:rsidR="00F31455" w:rsidRPr="001C4ADE" w:rsidRDefault="00F31455" w:rsidP="00E87E37">
            <w:pPr>
              <w:pStyle w:val="Tabellenberschrift"/>
              <w:tabs>
                <w:tab w:val="left" w:pos="720"/>
              </w:tabs>
              <w:rPr>
                <w:b w:val="0"/>
              </w:rPr>
            </w:pPr>
            <w:r w:rsidRPr="001C4ADE">
              <w:rPr>
                <w:b w:val="0"/>
              </w:rPr>
              <w:t>Die Schülerinnen und Schüler</w:t>
            </w:r>
          </w:p>
          <w:p w:rsidR="00F31455" w:rsidRDefault="00F31455" w:rsidP="00E87E37">
            <w:pPr>
              <w:pStyle w:val="Tabellenspiegelstrich"/>
              <w:jc w:val="left"/>
            </w:pPr>
            <w:r w:rsidRPr="00886980">
              <w:t xml:space="preserve">informieren sich </w:t>
            </w:r>
            <w:r>
              <w:t xml:space="preserve">über die speziellen Zahlungsbedingungen bei Außenhandelsgeschäften (AHP) </w:t>
            </w:r>
          </w:p>
          <w:p w:rsidR="00F31455" w:rsidRDefault="00E87E37" w:rsidP="00E87E37">
            <w:pPr>
              <w:pStyle w:val="Tabellenspiegelstrich"/>
              <w:jc w:val="left"/>
            </w:pPr>
            <w:r>
              <w:t>b</w:t>
            </w:r>
            <w:r w:rsidR="00F31455">
              <w:t xml:space="preserve">ereiten eine situationsgerechte Präsentation </w:t>
            </w:r>
            <w:r w:rsidR="00F31455" w:rsidRPr="00E835F0">
              <w:rPr>
                <w:color w:val="548DD4"/>
              </w:rPr>
              <w:t>unter Nutzung geeigneter Medien</w:t>
            </w:r>
            <w:r w:rsidR="00F31455">
              <w:t xml:space="preserve"> vor (AHP)</w:t>
            </w:r>
          </w:p>
          <w:p w:rsidR="00F31455" w:rsidRDefault="00E87E37" w:rsidP="00E87E37">
            <w:pPr>
              <w:pStyle w:val="Tabellenspiegelstrich"/>
              <w:jc w:val="left"/>
            </w:pPr>
            <w:r>
              <w:t>i</w:t>
            </w:r>
            <w:r w:rsidR="00F31455" w:rsidRPr="00886980">
              <w:t>nformieren sich gezielt</w:t>
            </w:r>
            <w:r w:rsidR="00F31455" w:rsidRPr="00E835F0">
              <w:rPr>
                <w:color w:val="E36C0A"/>
              </w:rPr>
              <w:t xml:space="preserve"> </w:t>
            </w:r>
            <w:r w:rsidR="00F31455">
              <w:t xml:space="preserve">über die Zahlungsbedingungen </w:t>
            </w:r>
            <w:r w:rsidR="00F31455" w:rsidRPr="00C8237B">
              <w:t xml:space="preserve">Dokumentenakkreditiv und Dokumenteninkasso </w:t>
            </w:r>
            <w:r w:rsidR="00F31455">
              <w:t xml:space="preserve">(AHP) </w:t>
            </w:r>
          </w:p>
          <w:p w:rsidR="00F31455" w:rsidRDefault="00F31455" w:rsidP="00E87E37">
            <w:pPr>
              <w:pStyle w:val="Tabellenspiegelstrich"/>
              <w:jc w:val="left"/>
            </w:pPr>
            <w:r>
              <w:t xml:space="preserve">bereiten die Entscheidungsfindung </w:t>
            </w:r>
            <w:r w:rsidR="00E87E37">
              <w:t>bei der Angebotserstellung vor</w:t>
            </w:r>
          </w:p>
          <w:p w:rsidR="00F31455" w:rsidRDefault="00F31455" w:rsidP="00E87E37">
            <w:pPr>
              <w:pStyle w:val="Tabellenspiegelstrich"/>
              <w:jc w:val="left"/>
            </w:pPr>
            <w:r>
              <w:lastRenderedPageBreak/>
              <w:t xml:space="preserve">bereiten eine situationsgerechte </w:t>
            </w:r>
            <w:r w:rsidRPr="001C4ADE">
              <w:rPr>
                <w:color w:val="548DD4"/>
              </w:rPr>
              <w:t xml:space="preserve">Präsentation </w:t>
            </w:r>
            <w:r w:rsidRPr="00E835F0">
              <w:rPr>
                <w:color w:val="548DD4"/>
              </w:rPr>
              <w:t>unter Nutzung geeigneter Medien</w:t>
            </w:r>
            <w:r>
              <w:t xml:space="preserve"> vor (AHP)</w:t>
            </w:r>
          </w:p>
          <w:p w:rsidR="00F31455" w:rsidRDefault="00F31455" w:rsidP="00E87E37">
            <w:pPr>
              <w:pStyle w:val="Tabellenspiegelstrich"/>
              <w:jc w:val="left"/>
            </w:pPr>
            <w:r w:rsidRPr="00886980">
              <w:t>informieren sich gezielt</w:t>
            </w:r>
            <w:r w:rsidRPr="00E835F0">
              <w:rPr>
                <w:color w:val="E36C0A"/>
              </w:rPr>
              <w:t xml:space="preserve"> </w:t>
            </w:r>
            <w:r>
              <w:t xml:space="preserve">über die Zahlungsbedingungen </w:t>
            </w:r>
            <w:r w:rsidRPr="00C8237B">
              <w:t xml:space="preserve">Dokumentenakkreditiv und Dokumenteninkasso </w:t>
            </w:r>
            <w:r>
              <w:t xml:space="preserve">(AHP) </w:t>
            </w:r>
          </w:p>
          <w:p w:rsidR="00F31455" w:rsidRDefault="00F31455" w:rsidP="00E87E37">
            <w:pPr>
              <w:pStyle w:val="Tabellenspiegelstrich"/>
              <w:jc w:val="left"/>
            </w:pPr>
            <w:r>
              <w:t xml:space="preserve">bereiten die Entscheidungsfindung bei der Angebotserstellung vor, indem sie die Zahlungsbedingungen </w:t>
            </w:r>
            <w:r w:rsidRPr="00BA59F2">
              <w:t xml:space="preserve">Dokumentenakkreditiv und Dokumenteninkasso </w:t>
            </w:r>
            <w:r>
              <w:t xml:space="preserve">anschaulich </w:t>
            </w:r>
            <w:r w:rsidRPr="00E835F0">
              <w:rPr>
                <w:color w:val="548DD4"/>
              </w:rPr>
              <w:t xml:space="preserve">unter Nutzung geeigneter Medien </w:t>
            </w:r>
            <w:r>
              <w:t>gegenüberstellen (AHP)</w:t>
            </w:r>
          </w:p>
          <w:p w:rsidR="00F31455" w:rsidRDefault="00F31455" w:rsidP="00E87E37">
            <w:pPr>
              <w:pStyle w:val="Tabellenspiegelstrich"/>
              <w:jc w:val="left"/>
            </w:pPr>
            <w:r>
              <w:t xml:space="preserve">erstellen fallbezogen Angebote mit begründeter Auswahl einer Zahlungsbedingung </w:t>
            </w:r>
            <w:r w:rsidRPr="00E835F0">
              <w:rPr>
                <w:color w:val="548DD4"/>
              </w:rPr>
              <w:t>unter Nutzung geeigneter Medien</w:t>
            </w:r>
            <w:r>
              <w:t xml:space="preserve"> </w:t>
            </w:r>
          </w:p>
          <w:p w:rsidR="00F31455" w:rsidRDefault="00F31455" w:rsidP="00E87E37">
            <w:pPr>
              <w:pStyle w:val="Tabellenspiegelstrich"/>
              <w:jc w:val="left"/>
            </w:pPr>
            <w:r w:rsidRPr="00886980">
              <w:rPr>
                <w:color w:val="548DD4"/>
              </w:rPr>
              <w:t>präsentieren ihre Arbeitsergebnisse</w:t>
            </w:r>
            <w:r w:rsidRPr="00E835F0">
              <w:rPr>
                <w:color w:val="E36C0A"/>
              </w:rPr>
              <w:t xml:space="preserve"> </w:t>
            </w:r>
            <w:r>
              <w:t>in geeigneter Form (AHP)</w:t>
            </w:r>
          </w:p>
        </w:tc>
        <w:tc>
          <w:tcPr>
            <w:tcW w:w="7270" w:type="dxa"/>
          </w:tcPr>
          <w:p w:rsidR="00F31455" w:rsidRDefault="00F31455" w:rsidP="00E87E37">
            <w:pPr>
              <w:pStyle w:val="Tabellenberschrift"/>
              <w:tabs>
                <w:tab w:val="left" w:pos="720"/>
              </w:tabs>
            </w:pPr>
            <w:r>
              <w:lastRenderedPageBreak/>
              <w:t>Konkretisierung der Inhalte</w:t>
            </w:r>
          </w:p>
          <w:p w:rsidR="00F31455" w:rsidRPr="001C4ADE" w:rsidRDefault="00F31455" w:rsidP="00E87E37">
            <w:pPr>
              <w:pStyle w:val="Tabellenspiegelstrich"/>
              <w:jc w:val="left"/>
            </w:pPr>
            <w:r w:rsidRPr="00C837F9">
              <w:t>Zahlungsbedingungen im AH</w:t>
            </w:r>
            <w:r w:rsidRPr="00E87E37">
              <w:t xml:space="preserve"> </w:t>
            </w:r>
            <w:r w:rsidRPr="00E87E37">
              <w:rPr>
                <w:sz w:val="22"/>
                <w:szCs w:val="22"/>
              </w:rPr>
              <w:t>(</w:t>
            </w:r>
            <w:r w:rsidRPr="00E87E37">
              <w:rPr>
                <w:iCs/>
              </w:rPr>
              <w:t>offenes Ziel, netto Kasse, Dokumenteninkasso, Dokumentenakkreditiv, Vorkasse)</w:t>
            </w:r>
            <w:r w:rsidRPr="00E835F0">
              <w:t xml:space="preserve"> unter Berücksichtigung der Aspekte Risiko und zeitlicher Ablauf</w:t>
            </w:r>
            <w:r w:rsidRPr="00E835F0">
              <w:rPr>
                <w:i/>
                <w:iCs/>
              </w:rPr>
              <w:t xml:space="preserve"> </w:t>
            </w:r>
          </w:p>
          <w:p w:rsidR="00F31455" w:rsidRPr="00BA59F2" w:rsidRDefault="00F31455" w:rsidP="00E87E37">
            <w:pPr>
              <w:pStyle w:val="Tabellenspiegelstrich"/>
              <w:jc w:val="left"/>
            </w:pPr>
            <w:r w:rsidRPr="00C837F9">
              <w:t xml:space="preserve">Konkreter Ablauf bei den Zahlungsbedingungen </w:t>
            </w:r>
            <w:r w:rsidRPr="00BA59F2">
              <w:t>Dok</w:t>
            </w:r>
            <w:r>
              <w:t>u</w:t>
            </w:r>
            <w:r w:rsidRPr="00BA59F2">
              <w:t>menteninkasso und Dokumentena</w:t>
            </w:r>
            <w:r>
              <w:t>k</w:t>
            </w:r>
            <w:r w:rsidRPr="00BA59F2">
              <w:t>kreditiv inklusive der Vor- und Nachteile für beide Parteien.</w:t>
            </w:r>
          </w:p>
          <w:p w:rsidR="00F31455" w:rsidRPr="00C8237B" w:rsidRDefault="00F31455" w:rsidP="00E87E37">
            <w:pPr>
              <w:pStyle w:val="Tabellenspiegelstrich"/>
              <w:jc w:val="left"/>
            </w:pPr>
            <w:r>
              <w:t>Sichtakkreditiv und Nachsichtakkreditiv</w:t>
            </w:r>
          </w:p>
          <w:p w:rsidR="00F31455" w:rsidRDefault="00F31455" w:rsidP="00E87E37">
            <w:pPr>
              <w:pStyle w:val="Tabellenspiegelstrich"/>
              <w:jc w:val="left"/>
            </w:pPr>
            <w:r w:rsidRPr="00C837F9">
              <w:lastRenderedPageBreak/>
              <w:t xml:space="preserve">Konkreter Ablauf bei den Zahlungsbedingungen </w:t>
            </w:r>
            <w:r w:rsidRPr="00BA59F2">
              <w:t>Dok</w:t>
            </w:r>
            <w:r>
              <w:t>u</w:t>
            </w:r>
            <w:r w:rsidRPr="00BA59F2">
              <w:t xml:space="preserve">menteninkasso </w:t>
            </w:r>
            <w:r>
              <w:t>Sichtakkreditiv und Nachsichtakkreditiv</w:t>
            </w:r>
          </w:p>
          <w:p w:rsidR="00F31455" w:rsidRPr="00BA59F2" w:rsidRDefault="00F31455" w:rsidP="00E87E37">
            <w:pPr>
              <w:pStyle w:val="Tabellenspiegelstrich"/>
              <w:jc w:val="left"/>
            </w:pPr>
            <w:r w:rsidRPr="00C837F9">
              <w:t xml:space="preserve">Konkreter Ablauf bei den Zahlungsbedingungen </w:t>
            </w:r>
            <w:r w:rsidRPr="00BA59F2">
              <w:t>Dok</w:t>
            </w:r>
            <w:r>
              <w:t>u</w:t>
            </w:r>
            <w:r w:rsidRPr="00BA59F2">
              <w:t>menteninkasso und Dokumentena</w:t>
            </w:r>
            <w:r>
              <w:t>k</w:t>
            </w:r>
            <w:r w:rsidRPr="00BA59F2">
              <w:t>kreditiv inklusive der Vor- und Nachteile für beide Parteien.</w:t>
            </w:r>
          </w:p>
          <w:p w:rsidR="00F31455" w:rsidRDefault="00F31455" w:rsidP="00E87E37">
            <w:pPr>
              <w:pStyle w:val="Tabellenspiegelstrich"/>
              <w:jc w:val="left"/>
            </w:pPr>
            <w:r>
              <w:t>Sichtakkreditiv und Nachsichtakkreditiv</w:t>
            </w:r>
          </w:p>
        </w:tc>
      </w:tr>
      <w:tr w:rsidR="00F31455" w:rsidTr="00E87E37">
        <w:trPr>
          <w:trHeight w:val="964"/>
          <w:jc w:val="center"/>
        </w:trPr>
        <w:tc>
          <w:tcPr>
            <w:tcW w:w="14565" w:type="dxa"/>
            <w:gridSpan w:val="2"/>
          </w:tcPr>
          <w:p w:rsidR="00F31455" w:rsidRPr="00886980" w:rsidRDefault="00F31455" w:rsidP="00E87E37">
            <w:pPr>
              <w:pStyle w:val="Tabellenberschrift"/>
              <w:tabs>
                <w:tab w:val="left" w:pos="720"/>
              </w:tabs>
            </w:pPr>
            <w:r w:rsidRPr="00886980">
              <w:lastRenderedPageBreak/>
              <w:t>Lern- und Arbeitstechniken</w:t>
            </w:r>
          </w:p>
          <w:p w:rsidR="00F31455" w:rsidRPr="00886980" w:rsidRDefault="00F31455" w:rsidP="00E87E37">
            <w:pPr>
              <w:pStyle w:val="Tabellentext"/>
            </w:pPr>
            <w:r w:rsidRPr="00886980">
              <w:t>Erstellung einer Übersicht zu den Zahlungsbedingungen bei Außenhandelsgeschäften (Medium je nach Ausstattung variabel) in arbeitsgleicher Gruppenarbeit</w:t>
            </w:r>
          </w:p>
          <w:p w:rsidR="00F31455" w:rsidRPr="00886980" w:rsidRDefault="00F31455" w:rsidP="00E87E37">
            <w:pPr>
              <w:pStyle w:val="Tabellentext"/>
            </w:pPr>
            <w:r w:rsidRPr="00886980">
              <w:t xml:space="preserve">arbeitsteilige Gruppenarbeit (Vertiefung Dokumenteninkasso und Dokumentenakkreditiv) und </w:t>
            </w:r>
            <w:r w:rsidRPr="001C4ADE">
              <w:rPr>
                <w:rFonts w:eastAsia="MS Mincho"/>
                <w:color w:val="548DD4"/>
              </w:rPr>
              <w:t>Präsentation bzw. Visualisierung in geeigneter Form</w:t>
            </w:r>
          </w:p>
          <w:p w:rsidR="00F31455" w:rsidRPr="00886980" w:rsidRDefault="00F31455" w:rsidP="00E87E37">
            <w:pPr>
              <w:pStyle w:val="Tabellentext"/>
            </w:pPr>
            <w:r w:rsidRPr="00886980">
              <w:t>Partnerarbeit (fallbezogene Anwendung und Kalkulation des Angebotspreises)</w:t>
            </w:r>
          </w:p>
        </w:tc>
      </w:tr>
      <w:tr w:rsidR="00F31455" w:rsidTr="00E87E37">
        <w:trPr>
          <w:trHeight w:val="964"/>
          <w:jc w:val="center"/>
        </w:trPr>
        <w:tc>
          <w:tcPr>
            <w:tcW w:w="14565" w:type="dxa"/>
            <w:gridSpan w:val="2"/>
          </w:tcPr>
          <w:p w:rsidR="00F31455" w:rsidRDefault="00F31455" w:rsidP="00E87E37">
            <w:pPr>
              <w:pStyle w:val="Tabellenberschrift"/>
              <w:tabs>
                <w:tab w:val="left" w:pos="720"/>
              </w:tabs>
            </w:pPr>
            <w:r>
              <w:t>Unterrichtsmaterialien/Fundstelle</w:t>
            </w:r>
          </w:p>
          <w:p w:rsidR="00F31455" w:rsidRDefault="00F31455" w:rsidP="00E87E37">
            <w:pPr>
              <w:pStyle w:val="Tabellentext"/>
            </w:pPr>
            <w:r w:rsidRPr="00C837F9">
              <w:t>Lehrbuch, Informations- und Arbeitsblätter</w:t>
            </w:r>
          </w:p>
        </w:tc>
      </w:tr>
      <w:tr w:rsidR="00F31455" w:rsidTr="00E87E37">
        <w:trPr>
          <w:trHeight w:val="964"/>
          <w:jc w:val="center"/>
        </w:trPr>
        <w:tc>
          <w:tcPr>
            <w:tcW w:w="14565" w:type="dxa"/>
            <w:gridSpan w:val="2"/>
          </w:tcPr>
          <w:p w:rsidR="00F31455" w:rsidRDefault="00F31455" w:rsidP="00E87E37">
            <w:pPr>
              <w:pStyle w:val="Tabellenberschrift"/>
              <w:tabs>
                <w:tab w:val="left" w:pos="720"/>
              </w:tabs>
            </w:pPr>
            <w:r>
              <w:t>Organisatorische Hinweise</w:t>
            </w:r>
          </w:p>
          <w:p w:rsidR="00F31455" w:rsidRPr="00E87E37" w:rsidRDefault="00F31455" w:rsidP="00E87E37">
            <w:pPr>
              <w:pStyle w:val="Tabellentext"/>
              <w:spacing w:before="0"/>
              <w:rPr>
                <w:iCs/>
              </w:rPr>
            </w:pPr>
            <w:r w:rsidRPr="00E87E37">
              <w:rPr>
                <w:iCs/>
              </w:rPr>
              <w:t>Medieneinsatz in Abhängigkeit von vorhandenen Kapazitäten</w:t>
            </w:r>
          </w:p>
        </w:tc>
      </w:tr>
    </w:tbl>
    <w:p w:rsidR="00762217" w:rsidRPr="00C658E7" w:rsidRDefault="00762217" w:rsidP="00E87E37">
      <w:pPr>
        <w:spacing w:before="120" w:after="0"/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sectPr w:rsidR="00762217" w:rsidRPr="00C658E7" w:rsidSect="005506FE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DF" w:rsidRDefault="006915DF">
      <w:r>
        <w:separator/>
      </w:r>
    </w:p>
    <w:p w:rsidR="006915DF" w:rsidRDefault="006915DF"/>
    <w:p w:rsidR="006915DF" w:rsidRDefault="006915DF"/>
  </w:endnote>
  <w:end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817652" w:rsidRDefault="00817652" w:rsidP="000348A1">
    <w:pPr>
      <w:pStyle w:val="Fuzeile"/>
      <w:tabs>
        <w:tab w:val="clear" w:pos="4536"/>
        <w:tab w:val="clear" w:pos="9072"/>
        <w:tab w:val="right" w:pos="14601"/>
      </w:tabs>
      <w:spacing w:before="0" w:after="0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1636F">
      <w:rPr>
        <w:noProof/>
      </w:rPr>
      <w:t>3</w:t>
    </w:r>
    <w:r>
      <w:fldChar w:fldCharType="end"/>
    </w:r>
    <w:r>
      <w:t xml:space="preserve"> von </w:t>
    </w:r>
    <w:fldSimple w:instr=" NUMPAGES  \* Arabic  \* MERGEFORMAT ">
      <w:r w:rsidR="00B1636F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DF" w:rsidRDefault="006915DF">
      <w:r>
        <w:separator/>
      </w:r>
    </w:p>
  </w:footnote>
  <w:footnote w:type="continuationSeparator" w:id="0">
    <w:p w:rsidR="006915DF" w:rsidRDefault="006915DF">
      <w:r>
        <w:continuationSeparator/>
      </w:r>
    </w:p>
    <w:p w:rsidR="006915DF" w:rsidRDefault="006915DF"/>
    <w:p w:rsidR="006915DF" w:rsidRDefault="006915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762217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76221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4F4" w:rsidRPr="000348A1" w:rsidRDefault="00732D2E" w:rsidP="005506FE">
    <w:pPr>
      <w:pStyle w:val="berschrift2"/>
      <w:keepNext w:val="0"/>
      <w:numPr>
        <w:ilvl w:val="0"/>
        <w:numId w:val="0"/>
      </w:numPr>
      <w:spacing w:before="0" w:after="0"/>
      <w:rPr>
        <w:sz w:val="24"/>
      </w:rPr>
    </w:pPr>
    <w:r w:rsidRPr="00732D2E">
      <w:rPr>
        <w:sz w:val="24"/>
      </w:rPr>
      <w:t xml:space="preserve">Kauffrau für Groß- und Außenhandelsmanagement/Kaufmann </w:t>
    </w:r>
    <w:r>
      <w:rPr>
        <w:sz w:val="24"/>
      </w:rPr>
      <w:t>für</w:t>
    </w:r>
    <w:r w:rsidRPr="00732D2E">
      <w:rPr>
        <w:sz w:val="24"/>
      </w:rPr>
      <w:t xml:space="preserve"> Groß- und Außenhandelsmanagement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DA7D29"/>
    <w:multiLevelType w:val="hybridMultilevel"/>
    <w:tmpl w:val="B97C4178"/>
    <w:lvl w:ilvl="0" w:tplc="EA60E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 w15:restartNumberingAfterBreak="0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5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6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4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584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157F7"/>
    <w:rsid w:val="00031C21"/>
    <w:rsid w:val="00032A8E"/>
    <w:rsid w:val="000348A1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09F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38D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93D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868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06FE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3486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2D2E"/>
    <w:rsid w:val="00733CD6"/>
    <w:rsid w:val="00734A42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787D"/>
    <w:rsid w:val="00B062DB"/>
    <w:rsid w:val="00B07C65"/>
    <w:rsid w:val="00B150C1"/>
    <w:rsid w:val="00B15B01"/>
    <w:rsid w:val="00B1636F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088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08F0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5585"/>
    <w:rsid w:val="00D314F7"/>
    <w:rsid w:val="00D34860"/>
    <w:rsid w:val="00D369D2"/>
    <w:rsid w:val="00D36C11"/>
    <w:rsid w:val="00D36CEB"/>
    <w:rsid w:val="00D44718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87E37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45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33E7A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uiPriority w:val="99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uiPriority w:val="99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2C593D"/>
    <w:rPr>
      <w:bCs/>
      <w:color w:val="007EC5"/>
    </w:rPr>
  </w:style>
  <w:style w:type="character" w:customStyle="1" w:styleId="LSgrn">
    <w:name w:val="LS grün"/>
    <w:uiPriority w:val="1"/>
    <w:rsid w:val="002C593D"/>
    <w:rPr>
      <w:bCs/>
      <w:color w:val="4CB848"/>
    </w:rPr>
  </w:style>
  <w:style w:type="character" w:customStyle="1" w:styleId="LSorange">
    <w:name w:val="LS orange"/>
    <w:uiPriority w:val="1"/>
    <w:rsid w:val="002C593D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4413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2020-06-19T10:21:00Z</dcterms:created>
  <dcterms:modified xsi:type="dcterms:W3CDTF">2020-06-19T13:06:00Z</dcterms:modified>
</cp:coreProperties>
</file>