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DA3988" w:rsidRDefault="009E534B">
      <w:pPr>
        <w:rPr>
          <w:sz w:val="28"/>
          <w:szCs w:val="28"/>
        </w:rPr>
      </w:pPr>
      <w:bookmarkStart w:id="0" w:name="_GoBack"/>
      <w:bookmarkEnd w:id="0"/>
    </w:p>
    <w:p w:rsidR="009E534B" w:rsidRPr="00DA3988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DA3988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DA3988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DA3988" w:rsidRDefault="00BA27C7" w:rsidP="00055AF3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 w:rsidRPr="00DA3988">
              <w:rPr>
                <w:b/>
                <w:sz w:val="24"/>
              </w:rPr>
              <w:t xml:space="preserve">Lernfeld: Nr. </w:t>
            </w:r>
            <w:r w:rsidR="00DA3988" w:rsidRPr="00DA3988">
              <w:rPr>
                <w:b/>
                <w:sz w:val="24"/>
              </w:rPr>
              <w:t>13a</w:t>
            </w:r>
            <w:r w:rsidR="008F0F06" w:rsidRPr="00DA3988">
              <w:rPr>
                <w:b/>
                <w:sz w:val="24"/>
              </w:rPr>
              <w:t xml:space="preserve">: </w:t>
            </w:r>
            <w:r w:rsidR="00DA3988" w:rsidRPr="00DA3988">
              <w:rPr>
                <w:b/>
                <w:sz w:val="24"/>
              </w:rPr>
              <w:t xml:space="preserve">Details an geneigten Dächern herstellen </w:t>
            </w:r>
            <w:r w:rsidR="008F0F06" w:rsidRPr="00DA3988">
              <w:rPr>
                <w:b/>
                <w:sz w:val="24"/>
              </w:rPr>
              <w:t>(</w:t>
            </w:r>
            <w:r w:rsidR="006F2F0B">
              <w:rPr>
                <w:b/>
                <w:sz w:val="24"/>
              </w:rPr>
              <w:t>8</w:t>
            </w:r>
            <w:r w:rsidR="00055AF3">
              <w:rPr>
                <w:b/>
                <w:sz w:val="24"/>
              </w:rPr>
              <w:t>0</w:t>
            </w:r>
            <w:r w:rsidR="008F0F06" w:rsidRPr="00DA3988">
              <w:rPr>
                <w:b/>
                <w:sz w:val="24"/>
              </w:rPr>
              <w:t xml:space="preserve"> </w:t>
            </w:r>
            <w:proofErr w:type="spellStart"/>
            <w:r w:rsidR="008F0F06" w:rsidRPr="00DA3988">
              <w:rPr>
                <w:b/>
                <w:sz w:val="24"/>
              </w:rPr>
              <w:t>UStd</w:t>
            </w:r>
            <w:proofErr w:type="spellEnd"/>
            <w:r w:rsidR="008F0F06" w:rsidRPr="00DA3988">
              <w:rPr>
                <w:b/>
                <w:sz w:val="24"/>
              </w:rPr>
              <w:t>.)</w:t>
            </w:r>
            <w:r w:rsidR="00A90D03" w:rsidRPr="00DA3988">
              <w:rPr>
                <w:b/>
                <w:sz w:val="24"/>
              </w:rPr>
              <w:tab/>
            </w:r>
            <w:r w:rsidR="00055AF3">
              <w:rPr>
                <w:b/>
                <w:sz w:val="24"/>
              </w:rPr>
              <w:t>3</w:t>
            </w:r>
            <w:r w:rsidR="008F0F06" w:rsidRPr="00DA3988">
              <w:rPr>
                <w:b/>
                <w:sz w:val="24"/>
              </w:rPr>
              <w:t>. Ausbildungsjahr</w:t>
            </w:r>
          </w:p>
        </w:tc>
      </w:tr>
      <w:tr w:rsidR="008F0F06" w:rsidRPr="00DA3988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8F0F06" w:rsidP="008F0F06">
            <w:pPr>
              <w:spacing w:before="60"/>
              <w:rPr>
                <w:b/>
              </w:rPr>
            </w:pPr>
            <w:r w:rsidRPr="00DA3988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8F0F06" w:rsidP="008F0F06">
            <w:pPr>
              <w:spacing w:before="60"/>
              <w:rPr>
                <w:b/>
              </w:rPr>
            </w:pPr>
            <w:r w:rsidRPr="00DA3988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8F0F06" w:rsidP="008F0F06">
            <w:pPr>
              <w:spacing w:before="60"/>
              <w:rPr>
                <w:b/>
              </w:rPr>
            </w:pPr>
            <w:r w:rsidRPr="00DA3988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DA3988" w:rsidRDefault="008F0F06" w:rsidP="008F0F06">
            <w:pPr>
              <w:spacing w:before="60"/>
              <w:rPr>
                <w:b/>
              </w:rPr>
            </w:pPr>
            <w:r w:rsidRPr="00DA3988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DA3988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5A2254" w:rsidP="005F0B37">
            <w:pPr>
              <w:spacing w:before="60"/>
            </w:pPr>
            <w:r w:rsidRPr="00DA3988">
              <w:t>1</w:t>
            </w:r>
            <w:r w:rsidR="00DA3988" w:rsidRPr="00DA3988">
              <w:t>3</w:t>
            </w:r>
            <w:r w:rsidR="00864FA4">
              <w:t>a</w:t>
            </w:r>
            <w:r w:rsidR="008F0F06" w:rsidRPr="00DA3988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4C2149" w:rsidP="008F0F06">
            <w:pPr>
              <w:spacing w:before="60"/>
            </w:pPr>
            <w:r>
              <w:t>Analyse und Planung der Details eines Anbaus mit Satteldach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4C2149" w:rsidP="008F0F06">
            <w:pPr>
              <w:spacing w:before="60"/>
            </w:pPr>
            <w:r>
              <w:t>24</w:t>
            </w:r>
            <w:r w:rsidRPr="00DA3988">
              <w:t xml:space="preserve"> </w:t>
            </w:r>
            <w:proofErr w:type="spellStart"/>
            <w:r w:rsidRPr="00DA3988">
              <w:t>UStd</w:t>
            </w:r>
            <w:proofErr w:type="spellEnd"/>
            <w: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DA3988" w:rsidRDefault="008F0F06" w:rsidP="008F0F06">
            <w:pPr>
              <w:spacing w:before="60"/>
            </w:pPr>
          </w:p>
        </w:tc>
      </w:tr>
      <w:tr w:rsidR="004C2149" w:rsidRPr="00DA3988" w:rsidTr="001D62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9" w:rsidRPr="00DA3988" w:rsidRDefault="004C2149" w:rsidP="001D62DC">
            <w:pPr>
              <w:spacing w:before="60"/>
            </w:pPr>
            <w:r w:rsidRPr="00DA3988">
              <w:t>13</w:t>
            </w:r>
            <w:r>
              <w:t>a</w:t>
            </w:r>
            <w:r w:rsidRPr="00DA3988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49" w:rsidRPr="00DA3988" w:rsidRDefault="004C2149" w:rsidP="001D62DC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9" w:rsidRPr="00DA3988" w:rsidRDefault="004C2149" w:rsidP="001D62DC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2149" w:rsidRPr="00DA3988" w:rsidRDefault="004C2149" w:rsidP="001D62DC">
            <w:pPr>
              <w:spacing w:before="60"/>
              <w:rPr>
                <w:b/>
              </w:rPr>
            </w:pPr>
          </w:p>
        </w:tc>
      </w:tr>
      <w:tr w:rsidR="004C2149" w:rsidRPr="00DA3988" w:rsidTr="001D62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9" w:rsidRPr="00DA3988" w:rsidRDefault="004C2149" w:rsidP="001D62DC">
            <w:pPr>
              <w:spacing w:before="60"/>
            </w:pPr>
            <w:r w:rsidRPr="00DA3988">
              <w:t>13</w:t>
            </w:r>
            <w:r>
              <w:t>a</w:t>
            </w:r>
            <w:r w:rsidRPr="00DA3988">
              <w:t>.</w:t>
            </w:r>
            <w: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49" w:rsidRPr="00DA3988" w:rsidRDefault="004C2149" w:rsidP="001D62DC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9" w:rsidRPr="00DA3988" w:rsidRDefault="004C2149" w:rsidP="001D62DC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C2149" w:rsidRPr="00DA3988" w:rsidRDefault="004C2149" w:rsidP="001D62DC">
            <w:pPr>
              <w:spacing w:before="60"/>
              <w:rPr>
                <w:b/>
              </w:rPr>
            </w:pPr>
          </w:p>
        </w:tc>
      </w:tr>
      <w:tr w:rsidR="008F0F06" w:rsidRPr="00DA3988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DA3988" w:rsidP="008F0F06">
            <w:pPr>
              <w:spacing w:before="60"/>
            </w:pPr>
            <w:r w:rsidRPr="00DA3988">
              <w:t>13</w:t>
            </w:r>
            <w:r w:rsidR="00864FA4">
              <w:t>a</w:t>
            </w:r>
            <w:r w:rsidR="008F0F06" w:rsidRPr="00DA3988">
              <w:t>.</w:t>
            </w:r>
            <w:r w:rsidR="004C2149"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DA3988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DA3988" w:rsidRDefault="008F0F06" w:rsidP="008F0F06">
            <w:pPr>
              <w:spacing w:before="6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DA3988" w:rsidRDefault="008F0F06" w:rsidP="008F0F06">
            <w:pPr>
              <w:spacing w:before="60"/>
              <w:rPr>
                <w:b/>
              </w:rPr>
            </w:pPr>
          </w:p>
        </w:tc>
      </w:tr>
    </w:tbl>
    <w:p w:rsidR="004C2149" w:rsidRPr="004C2149" w:rsidRDefault="004C2149" w:rsidP="004C2149">
      <w:pPr>
        <w:spacing w:before="120" w:after="120"/>
        <w:ind w:left="539"/>
      </w:pPr>
    </w:p>
    <w:p w:rsidR="009E534B" w:rsidRPr="00DA3988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DA3988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DA3988" w:rsidTr="0095034F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DA3988" w:rsidRDefault="00B61C7F" w:rsidP="00B61C7F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B61C7F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="008F0F06" w:rsidRPr="00DA3988">
              <w:rPr>
                <w:b/>
              </w:rPr>
              <w:t>Ausbildungs</w:t>
            </w:r>
            <w:r>
              <w:rPr>
                <w:b/>
              </w:rPr>
              <w:t>jahr</w:t>
            </w:r>
          </w:p>
          <w:p w:rsidR="008F0F06" w:rsidRPr="00DA3988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DA3988">
              <w:rPr>
                <w:b/>
              </w:rPr>
              <w:t>Bündelungsfach:</w:t>
            </w:r>
            <w:r w:rsidRPr="00DA3988">
              <w:tab/>
            </w:r>
            <w:r w:rsidR="00B54B5B" w:rsidRPr="001745C8">
              <w:t>Decken von Dächern</w:t>
            </w:r>
          </w:p>
          <w:p w:rsidR="00DA3988" w:rsidRPr="00DA3988" w:rsidRDefault="00B61C7F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>
              <w:rPr>
                <w:b/>
              </w:rPr>
              <w:t>Lernfeld</w:t>
            </w:r>
            <w:r w:rsidR="008F0F06" w:rsidRPr="00DA3988">
              <w:rPr>
                <w:b/>
              </w:rPr>
              <w:t xml:space="preserve"> </w:t>
            </w:r>
            <w:r w:rsidR="005B15DF" w:rsidRPr="00DA3988">
              <w:rPr>
                <w:b/>
              </w:rPr>
              <w:t>1</w:t>
            </w:r>
            <w:r w:rsidR="00DA3988" w:rsidRPr="00DA3988">
              <w:rPr>
                <w:b/>
              </w:rPr>
              <w:t>3a</w:t>
            </w:r>
            <w:r w:rsidR="001745C8">
              <w:rPr>
                <w:b/>
              </w:rPr>
              <w:t>:</w:t>
            </w:r>
            <w:r w:rsidR="008F0F06" w:rsidRPr="00DA3988">
              <w:tab/>
            </w:r>
            <w:r w:rsidR="001745C8" w:rsidRPr="001745C8">
              <w:t>Details an geneigten Dächern herstellen</w:t>
            </w:r>
            <w:r w:rsidR="001745C8">
              <w:t xml:space="preserve"> </w:t>
            </w:r>
            <w:r w:rsidR="001745C8" w:rsidRPr="001745C8">
              <w:t xml:space="preserve"> </w:t>
            </w:r>
            <w:r w:rsidR="00E0404C" w:rsidRPr="001745C8">
              <w:t>(</w:t>
            </w:r>
            <w:r w:rsidR="006F2F0B" w:rsidRPr="001745C8">
              <w:t>80</w:t>
            </w:r>
            <w:r w:rsidR="001745C8">
              <w:t xml:space="preserve"> </w:t>
            </w:r>
            <w:proofErr w:type="spellStart"/>
            <w:r w:rsidR="001745C8">
              <w:t>UStd</w:t>
            </w:r>
            <w:proofErr w:type="spellEnd"/>
            <w:r w:rsidR="001745C8">
              <w:t>.)</w:t>
            </w:r>
            <w:r w:rsidR="00DA3988" w:rsidRPr="00DA3988">
              <w:rPr>
                <w:b/>
              </w:rPr>
              <w:t xml:space="preserve"> </w:t>
            </w:r>
          </w:p>
          <w:p w:rsidR="008F0F06" w:rsidRPr="00DA3988" w:rsidRDefault="008F0F06" w:rsidP="00187F1D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DA3988">
              <w:rPr>
                <w:b/>
              </w:rPr>
              <w:t xml:space="preserve">Lernsituation </w:t>
            </w:r>
            <w:r w:rsidR="00B61C7F">
              <w:rPr>
                <w:b/>
              </w:rPr>
              <w:t>13a.1</w:t>
            </w:r>
            <w:r w:rsidR="00475200">
              <w:rPr>
                <w:b/>
              </w:rPr>
              <w:t>:</w:t>
            </w:r>
            <w:r w:rsidR="009A5C34">
              <w:tab/>
              <w:t>(24</w:t>
            </w:r>
            <w:r w:rsidRPr="00DA3988">
              <w:t xml:space="preserve"> </w:t>
            </w:r>
            <w:proofErr w:type="spellStart"/>
            <w:r w:rsidRPr="00DA3988">
              <w:t>UStd</w:t>
            </w:r>
            <w:proofErr w:type="spellEnd"/>
            <w:r w:rsidRPr="00DA3988">
              <w:t>.):</w:t>
            </w:r>
            <w:r w:rsidR="00475200">
              <w:t xml:space="preserve"> </w:t>
            </w:r>
            <w:r w:rsidR="00187F1D">
              <w:t>Analyse und Planung der Details eines Anbaus mit Satteldach</w:t>
            </w:r>
          </w:p>
        </w:tc>
      </w:tr>
      <w:tr w:rsidR="008F0F06" w:rsidRPr="00DA3988" w:rsidTr="0095034F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:rsidR="008F0F06" w:rsidRPr="00DA3988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DA3988">
              <w:t xml:space="preserve">Einstiegsszenario </w:t>
            </w:r>
          </w:p>
          <w:p w:rsidR="00206730" w:rsidRPr="00DA3988" w:rsidRDefault="00206730" w:rsidP="000A4254">
            <w:pPr>
              <w:pStyle w:val="Tabellentext"/>
              <w:spacing w:before="0"/>
            </w:pPr>
            <w:r>
              <w:t>Ein bestehendes Wohnhaus mit ungleich geneigtem Walmdach soll einen Anbau mit Satteldach und höherer Trauf</w:t>
            </w:r>
            <w:r w:rsidR="000A4254">
              <w:t>e erhalten. Der Architekt beauftragt eine Dachdeckerin oder einen Dachdecker</w:t>
            </w:r>
            <w:r>
              <w:t>, ihm Detaillösungen zur Ausführung vorzuschlagen. Es liegt eine räumliche Entwurfsskizze des gesamten Objektes vor.</w:t>
            </w:r>
          </w:p>
        </w:tc>
        <w:tc>
          <w:tcPr>
            <w:tcW w:w="7273" w:type="dxa"/>
            <w:shd w:val="clear" w:color="auto" w:fill="auto"/>
          </w:tcPr>
          <w:p w:rsidR="008F0F06" w:rsidRPr="00DA3988" w:rsidRDefault="008F0F06" w:rsidP="008F0F06">
            <w:pPr>
              <w:pStyle w:val="Tabellenberschrift"/>
            </w:pPr>
            <w:r w:rsidRPr="00DA3988">
              <w:t>Handlungsprodukt/Lernergebnis</w:t>
            </w:r>
          </w:p>
          <w:p w:rsidR="008F0F06" w:rsidRDefault="0002530A" w:rsidP="00F42B6E">
            <w:pPr>
              <w:pStyle w:val="Tabellentext"/>
              <w:spacing w:before="0"/>
            </w:pPr>
            <w:r>
              <w:t>Projektmappe mit Zeichnungen, Rechnungen, Infomaterial</w:t>
            </w:r>
          </w:p>
          <w:p w:rsidR="0002530A" w:rsidRPr="00152A2A" w:rsidRDefault="0002530A" w:rsidP="0002530A">
            <w:pPr>
              <w:pStyle w:val="Tabellenberschrift"/>
              <w:rPr>
                <w:b w:val="0"/>
              </w:rPr>
            </w:pPr>
            <w:r w:rsidRPr="00152A2A">
              <w:rPr>
                <w:b w:val="0"/>
              </w:rPr>
              <w:t>Ggf. anderes Dach zur</w:t>
            </w:r>
            <w:r w:rsidR="000A4254">
              <w:rPr>
                <w:b w:val="0"/>
              </w:rPr>
              <w:t xml:space="preserve"> Übung ausmitteln und berechnen</w:t>
            </w:r>
          </w:p>
          <w:p w:rsidR="00152A2A" w:rsidRDefault="00152A2A" w:rsidP="0002530A">
            <w:pPr>
              <w:pStyle w:val="Tabellenberschrift"/>
            </w:pPr>
          </w:p>
          <w:p w:rsidR="00152A2A" w:rsidRDefault="00152A2A" w:rsidP="0002530A">
            <w:pPr>
              <w:pStyle w:val="Tabellenberschrift"/>
            </w:pPr>
            <w:r w:rsidRPr="00152A2A">
              <w:t>Ggf. Hinweise zur Lernerfolgsüberprüfung und Leistungsbewertung</w:t>
            </w:r>
          </w:p>
          <w:p w:rsidR="00152A2A" w:rsidRPr="00152A2A" w:rsidRDefault="00152A2A" w:rsidP="00152A2A">
            <w:pPr>
              <w:pStyle w:val="Tabellenberschrift"/>
              <w:numPr>
                <w:ilvl w:val="0"/>
                <w:numId w:val="8"/>
              </w:numPr>
              <w:rPr>
                <w:b w:val="0"/>
              </w:rPr>
            </w:pPr>
            <w:r w:rsidRPr="00152A2A">
              <w:rPr>
                <w:b w:val="0"/>
              </w:rPr>
              <w:t>Klassenarbeit</w:t>
            </w:r>
          </w:p>
        </w:tc>
      </w:tr>
      <w:tr w:rsidR="008F0F06" w:rsidRPr="00DA3988" w:rsidTr="0095034F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DA3988">
              <w:t>Wesentliche Kompetenzen</w:t>
            </w:r>
          </w:p>
          <w:p w:rsidR="00206730" w:rsidRPr="00206730" w:rsidRDefault="00206730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152A2A" w:rsidRDefault="00152A2A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analysieren </w:t>
            </w:r>
            <w:r w:rsidR="009004EF">
              <w:rPr>
                <w:rFonts w:cs="Times New Roman"/>
              </w:rPr>
              <w:t>Entwurfsskizze</w:t>
            </w:r>
            <w:r w:rsidR="00DB42A2">
              <w:rPr>
                <w:rFonts w:cs="Times New Roman"/>
              </w:rPr>
              <w:t>n</w:t>
            </w:r>
            <w:r w:rsidR="009004EF">
              <w:rPr>
                <w:rFonts w:cs="Times New Roman"/>
              </w:rPr>
              <w:t xml:space="preserve"> hinsichtlich der Details</w:t>
            </w:r>
          </w:p>
          <w:p w:rsidR="008F0F06" w:rsidRDefault="00152A2A" w:rsidP="00DB42A2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informieren</w:t>
            </w:r>
            <w:r w:rsidR="00DB42A2">
              <w:rPr>
                <w:rFonts w:cs="Times New Roman"/>
              </w:rPr>
              <w:t xml:space="preserve"> sich anhand von Medien und Materialien über Anschlüsse mit verschiedenen Deckmaterialien und deren Anforderungen</w:t>
            </w:r>
          </w:p>
          <w:p w:rsidR="00DB42A2" w:rsidRDefault="00152A2A" w:rsidP="00DB42A2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stellen</w:t>
            </w:r>
            <w:r w:rsidR="00DB42A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Details zeichnerisch dar</w:t>
            </w:r>
          </w:p>
          <w:p w:rsidR="00D472B4" w:rsidRDefault="00152A2A" w:rsidP="00DB42A2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ermitteln</w:t>
            </w:r>
            <w:r w:rsidR="00D472B4">
              <w:rPr>
                <w:rFonts w:cs="Times New Roman"/>
              </w:rPr>
              <w:t xml:space="preserve"> wahre Längen, Neigungen und Flächen ungleich geneigter Dächer zeichnerisch und rechnerisch </w:t>
            </w:r>
          </w:p>
          <w:p w:rsidR="00DB42A2" w:rsidRPr="00DA3988" w:rsidRDefault="00152A2A" w:rsidP="00152A2A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schlagen </w:t>
            </w:r>
            <w:r w:rsidR="00DB42A2">
              <w:rPr>
                <w:rFonts w:cs="Times New Roman"/>
              </w:rPr>
              <w:t xml:space="preserve">Ausführungsalternativen </w:t>
            </w:r>
            <w:r w:rsidR="00DE16A3">
              <w:rPr>
                <w:rFonts w:cs="Times New Roman"/>
              </w:rPr>
              <w:t>vor</w:t>
            </w:r>
          </w:p>
        </w:tc>
        <w:tc>
          <w:tcPr>
            <w:tcW w:w="7273" w:type="dxa"/>
            <w:shd w:val="clear" w:color="auto" w:fill="auto"/>
          </w:tcPr>
          <w:p w:rsidR="008F0F06" w:rsidRPr="00DA3988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DA3988">
              <w:lastRenderedPageBreak/>
              <w:t>Konkretisierung der Inhalte</w:t>
            </w:r>
          </w:p>
          <w:p w:rsidR="008F0F06" w:rsidRPr="00DA3988" w:rsidRDefault="008F0F06" w:rsidP="00D472B4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</w:p>
          <w:p w:rsidR="00D472B4" w:rsidRDefault="00D472B4" w:rsidP="00D472B4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Kehle, Anfallspunkt,</w:t>
            </w:r>
            <w:r w:rsidR="00B145F1">
              <w:rPr>
                <w:rFonts w:cs="Times New Roman"/>
              </w:rPr>
              <w:t xml:space="preserve"> A</w:t>
            </w:r>
            <w:r w:rsidR="00152A2A">
              <w:rPr>
                <w:rFonts w:cs="Times New Roman"/>
              </w:rPr>
              <w:t>nschluss an aufgehende Bauteile</w:t>
            </w:r>
          </w:p>
          <w:p w:rsidR="00FD11BA" w:rsidRDefault="000A4254" w:rsidP="00B145F1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Arbeitsschritte</w:t>
            </w:r>
          </w:p>
          <w:p w:rsidR="00FD11BA" w:rsidRDefault="00FD11BA" w:rsidP="00FD11BA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Kehlausbildungen und Wandanschlüss</w:t>
            </w:r>
            <w:r w:rsidR="00152A2A">
              <w:rPr>
                <w:rFonts w:cs="Times New Roman"/>
              </w:rPr>
              <w:t xml:space="preserve">e mit verschiedenen Werkstoffen, z. B. </w:t>
            </w:r>
            <w:r>
              <w:rPr>
                <w:rFonts w:cs="Times New Roman"/>
              </w:rPr>
              <w:t>Maße, Überdeckungen, Materialunvert</w:t>
            </w:r>
            <w:r w:rsidR="00152A2A">
              <w:rPr>
                <w:rFonts w:cs="Times New Roman"/>
              </w:rPr>
              <w:t>räglichkeiten/-kombinationen</w:t>
            </w:r>
          </w:p>
          <w:p w:rsidR="008F0F06" w:rsidRDefault="002C3C78" w:rsidP="00FD11BA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Zeichnerische Darstellung von Kehlanfallspunkt, Kehlquerschnitt</w:t>
            </w:r>
            <w:r w:rsidR="00D46DB2">
              <w:rPr>
                <w:rFonts w:cs="Times New Roman"/>
              </w:rPr>
              <w:t xml:space="preserve">, </w:t>
            </w:r>
            <w:r w:rsidR="00D46DB2">
              <w:rPr>
                <w:rFonts w:cs="Times New Roman"/>
              </w:rPr>
              <w:lastRenderedPageBreak/>
              <w:t>Wandanschluss</w:t>
            </w:r>
          </w:p>
          <w:p w:rsidR="00D46DB2" w:rsidRDefault="00D46DB2" w:rsidP="00FD11BA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Dachausmittlung zeichnen und berechnen</w:t>
            </w:r>
          </w:p>
          <w:p w:rsidR="00D46DB2" w:rsidRPr="00DA3988" w:rsidRDefault="00D46DB2" w:rsidP="00DE16A3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</w:p>
        </w:tc>
      </w:tr>
      <w:tr w:rsidR="008F0F06" w:rsidRPr="00DA3988" w:rsidTr="0095034F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DA3988">
              <w:lastRenderedPageBreak/>
              <w:t>Lern- und Arbeitstechniken</w:t>
            </w:r>
          </w:p>
          <w:p w:rsidR="00A870EA" w:rsidRPr="000A4254" w:rsidRDefault="000A4254" w:rsidP="000A42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Informationen beschaffen, z. B. Internet und Fachbücher; komplexe Aufgabenstellung gliedern, z.B. Arbeitsplan; </w:t>
            </w:r>
            <w:r w:rsidR="006D31AA">
              <w:rPr>
                <w:b w:val="0"/>
              </w:rPr>
              <w:t>Visualisieren, z.B. Entwurfsskizzen</w:t>
            </w:r>
          </w:p>
        </w:tc>
      </w:tr>
      <w:tr w:rsidR="008F0F06" w:rsidRPr="00DA3988" w:rsidTr="0095034F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DA3988">
              <w:t>Unterrichtsmaterialien/Fundstelle</w:t>
            </w:r>
          </w:p>
          <w:p w:rsidR="00DB42A2" w:rsidRPr="00DB42A2" w:rsidRDefault="00DB42A2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Einstiegsszenario, Entwurfsskizze, Fachbuch, Fachregeln, Internetseiten von Herstellern, Herstellerbroschüren, </w:t>
            </w:r>
          </w:p>
        </w:tc>
      </w:tr>
      <w:tr w:rsidR="008F0F06" w:rsidRPr="00DA3988" w:rsidTr="0095034F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DA3988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DA3988">
              <w:t>Organisatorische Hinweise</w:t>
            </w:r>
          </w:p>
          <w:p w:rsidR="008F0F06" w:rsidRPr="00DA3988" w:rsidRDefault="008F0F06" w:rsidP="00F42B6E">
            <w:pPr>
              <w:pStyle w:val="Tabellentext"/>
              <w:spacing w:before="0"/>
            </w:pPr>
            <w:r w:rsidRPr="00DA3988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:rsidR="009E534B" w:rsidRPr="00DA3988" w:rsidRDefault="009E534B">
      <w:pPr>
        <w:rPr>
          <w:sz w:val="6"/>
          <w:szCs w:val="6"/>
        </w:rPr>
      </w:pPr>
    </w:p>
    <w:sectPr w:rsidR="009E534B" w:rsidRPr="00DA3988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590881"/>
    <w:multiLevelType w:val="hybridMultilevel"/>
    <w:tmpl w:val="D1D0B7B0"/>
    <w:lvl w:ilvl="0" w:tplc="536E0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2530A"/>
    <w:rsid w:val="00055AF3"/>
    <w:rsid w:val="000A4254"/>
    <w:rsid w:val="000A6A40"/>
    <w:rsid w:val="00134A28"/>
    <w:rsid w:val="00152A2A"/>
    <w:rsid w:val="001745C8"/>
    <w:rsid w:val="00186B00"/>
    <w:rsid w:val="00187F1D"/>
    <w:rsid w:val="0019190A"/>
    <w:rsid w:val="001A74A4"/>
    <w:rsid w:val="00206730"/>
    <w:rsid w:val="002C3C78"/>
    <w:rsid w:val="00365771"/>
    <w:rsid w:val="0038019A"/>
    <w:rsid w:val="00475200"/>
    <w:rsid w:val="004C2149"/>
    <w:rsid w:val="004D087B"/>
    <w:rsid w:val="00513232"/>
    <w:rsid w:val="005A2254"/>
    <w:rsid w:val="005B15DF"/>
    <w:rsid w:val="005B7DF7"/>
    <w:rsid w:val="005F0813"/>
    <w:rsid w:val="005F0B37"/>
    <w:rsid w:val="006342AF"/>
    <w:rsid w:val="006D31AA"/>
    <w:rsid w:val="006F2F0B"/>
    <w:rsid w:val="0079381D"/>
    <w:rsid w:val="007B08A5"/>
    <w:rsid w:val="007D3AA1"/>
    <w:rsid w:val="00864FA4"/>
    <w:rsid w:val="00877CFC"/>
    <w:rsid w:val="008949D5"/>
    <w:rsid w:val="008A764C"/>
    <w:rsid w:val="008F0F06"/>
    <w:rsid w:val="009004EF"/>
    <w:rsid w:val="0095034F"/>
    <w:rsid w:val="0098712D"/>
    <w:rsid w:val="009A5C34"/>
    <w:rsid w:val="009B1C03"/>
    <w:rsid w:val="009E534B"/>
    <w:rsid w:val="009F4616"/>
    <w:rsid w:val="00A1600B"/>
    <w:rsid w:val="00A870EA"/>
    <w:rsid w:val="00A90D03"/>
    <w:rsid w:val="00B13349"/>
    <w:rsid w:val="00B145F1"/>
    <w:rsid w:val="00B54B5B"/>
    <w:rsid w:val="00B61C7F"/>
    <w:rsid w:val="00B65D99"/>
    <w:rsid w:val="00BA2307"/>
    <w:rsid w:val="00BA27C7"/>
    <w:rsid w:val="00BB090E"/>
    <w:rsid w:val="00C44045"/>
    <w:rsid w:val="00C97EBE"/>
    <w:rsid w:val="00D20790"/>
    <w:rsid w:val="00D354FB"/>
    <w:rsid w:val="00D46DB2"/>
    <w:rsid w:val="00D472B4"/>
    <w:rsid w:val="00D52B30"/>
    <w:rsid w:val="00D72F23"/>
    <w:rsid w:val="00DA3988"/>
    <w:rsid w:val="00DB42A2"/>
    <w:rsid w:val="00DE16A3"/>
    <w:rsid w:val="00E0404C"/>
    <w:rsid w:val="00E0575D"/>
    <w:rsid w:val="00EB4F73"/>
    <w:rsid w:val="00EC7E07"/>
    <w:rsid w:val="00F42B6E"/>
    <w:rsid w:val="00F61AA1"/>
    <w:rsid w:val="00F80C38"/>
    <w:rsid w:val="00FB790F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Gethmann, Henrike</cp:lastModifiedBy>
  <cp:revision>21</cp:revision>
  <cp:lastPrinted>2013-05-27T08:53:00Z</cp:lastPrinted>
  <dcterms:created xsi:type="dcterms:W3CDTF">2016-04-25T05:29:00Z</dcterms:created>
  <dcterms:modified xsi:type="dcterms:W3CDTF">2016-06-21T12:03:00Z</dcterms:modified>
</cp:coreProperties>
</file>